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C02E" w14:textId="58AC3468" w:rsidR="005B0C28" w:rsidRPr="002B21D2" w:rsidRDefault="005B0C28" w:rsidP="00AD3636">
      <w:pPr>
        <w:spacing w:after="0" w:line="360" w:lineRule="auto"/>
        <w:jc w:val="center"/>
        <w:rPr>
          <w:rFonts w:ascii="Arial" w:hAnsi="Arial" w:cs="Arial"/>
          <w:b/>
          <w:bCs/>
          <w:sz w:val="28"/>
          <w:szCs w:val="28"/>
          <w:shd w:val="clear" w:color="auto" w:fill="FFFFFF"/>
          <w:lang w:val="en-GB"/>
        </w:rPr>
      </w:pPr>
      <w:r w:rsidRPr="002B21D2">
        <w:rPr>
          <w:rFonts w:ascii="Arial" w:hAnsi="Arial" w:cs="Arial"/>
          <w:b/>
          <w:bCs/>
          <w:sz w:val="28"/>
          <w:szCs w:val="28"/>
          <w:shd w:val="clear" w:color="auto" w:fill="FFFFFF"/>
          <w:lang w:val="en-GB"/>
        </w:rPr>
        <w:t>MEDIA BRIEFING STATEMENT BY THE MINISTER</w:t>
      </w:r>
      <w:r w:rsidR="00AD3636">
        <w:rPr>
          <w:rFonts w:ascii="Arial" w:hAnsi="Arial" w:cs="Arial"/>
          <w:b/>
          <w:bCs/>
          <w:sz w:val="28"/>
          <w:szCs w:val="28"/>
          <w:shd w:val="clear" w:color="auto" w:fill="FFFFFF"/>
          <w:lang w:val="en-GB"/>
        </w:rPr>
        <w:t xml:space="preserve"> OF HEALTH</w:t>
      </w:r>
      <w:r w:rsidRPr="002B21D2">
        <w:rPr>
          <w:rFonts w:ascii="Arial" w:hAnsi="Arial" w:cs="Arial"/>
          <w:b/>
          <w:bCs/>
          <w:sz w:val="28"/>
          <w:szCs w:val="28"/>
          <w:shd w:val="clear" w:color="auto" w:fill="FFFFFF"/>
          <w:lang w:val="en-GB"/>
        </w:rPr>
        <w:t xml:space="preserve"> ON THE OUTBREAK OF MPOX DISEASES IN SOUTH AFRICA AND EFFORTS TO CURB THE SPREAD</w:t>
      </w:r>
    </w:p>
    <w:p w14:paraId="56376D77" w14:textId="77777777" w:rsidR="005B0C28" w:rsidRPr="002B21D2" w:rsidRDefault="005B0C28" w:rsidP="005B0C28">
      <w:pPr>
        <w:spacing w:after="0" w:line="360" w:lineRule="auto"/>
        <w:jc w:val="center"/>
        <w:rPr>
          <w:rFonts w:ascii="Arial" w:hAnsi="Arial" w:cs="Arial"/>
          <w:b/>
          <w:bCs/>
          <w:sz w:val="28"/>
          <w:szCs w:val="28"/>
          <w:shd w:val="clear" w:color="auto" w:fill="FFFFFF"/>
          <w:lang w:val="en-GB"/>
        </w:rPr>
      </w:pPr>
      <w:r w:rsidRPr="002B21D2">
        <w:rPr>
          <w:rFonts w:ascii="Arial" w:hAnsi="Arial" w:cs="Arial"/>
          <w:b/>
          <w:bCs/>
          <w:sz w:val="28"/>
          <w:szCs w:val="28"/>
          <w:shd w:val="clear" w:color="auto" w:fill="FFFFFF"/>
          <w:lang w:val="en-GB"/>
        </w:rPr>
        <w:t>WEDNSDAY, 12 JUNE 2024 – PRETORIA</w:t>
      </w:r>
    </w:p>
    <w:p w14:paraId="276F5662" w14:textId="77777777" w:rsidR="005B0C28" w:rsidRPr="002B21D2" w:rsidRDefault="005B0C28" w:rsidP="005B0C28">
      <w:pPr>
        <w:spacing w:after="0" w:line="360" w:lineRule="auto"/>
        <w:jc w:val="both"/>
        <w:rPr>
          <w:rFonts w:ascii="Arial" w:hAnsi="Arial" w:cs="Arial"/>
          <w:b/>
          <w:bCs/>
          <w:sz w:val="28"/>
          <w:szCs w:val="28"/>
          <w:lang w:val="en-GB"/>
        </w:rPr>
      </w:pPr>
    </w:p>
    <w:p w14:paraId="7551B382" w14:textId="77777777" w:rsidR="005B0C28"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A global outbreak of Mpox disease, formerly known as Monkey pox, has been ongoing since 2022. </w:t>
      </w:r>
      <w:r w:rsidRPr="001225AB">
        <w:rPr>
          <w:rFonts w:ascii="Arial" w:hAnsi="Arial" w:cs="Arial"/>
          <w:sz w:val="28"/>
          <w:szCs w:val="28"/>
          <w:lang w:val="en-GB"/>
        </w:rPr>
        <w:t xml:space="preserve">Mpox is a notifiable medical condition </w:t>
      </w:r>
      <w:r w:rsidRPr="002B21D2">
        <w:rPr>
          <w:rFonts w:ascii="Arial" w:hAnsi="Arial" w:cs="Arial"/>
          <w:sz w:val="28"/>
          <w:szCs w:val="28"/>
          <w:lang w:val="en-GB"/>
        </w:rPr>
        <w:t xml:space="preserve">which the </w:t>
      </w:r>
      <w:r w:rsidRPr="001225AB">
        <w:rPr>
          <w:rFonts w:ascii="Arial" w:hAnsi="Arial" w:cs="Arial"/>
          <w:sz w:val="28"/>
          <w:szCs w:val="28"/>
          <w:lang w:val="en-GB"/>
        </w:rPr>
        <w:t>H</w:t>
      </w:r>
      <w:r w:rsidRPr="002B21D2">
        <w:rPr>
          <w:rFonts w:ascii="Arial" w:hAnsi="Arial" w:cs="Arial"/>
          <w:sz w:val="28"/>
          <w:szCs w:val="28"/>
          <w:lang w:val="en-GB"/>
        </w:rPr>
        <w:t xml:space="preserve">ealth </w:t>
      </w:r>
      <w:r w:rsidRPr="001225AB">
        <w:rPr>
          <w:rFonts w:ascii="Arial" w:hAnsi="Arial" w:cs="Arial"/>
          <w:sz w:val="28"/>
          <w:szCs w:val="28"/>
          <w:lang w:val="en-GB"/>
        </w:rPr>
        <w:t>C</w:t>
      </w:r>
      <w:r w:rsidRPr="002B21D2">
        <w:rPr>
          <w:rFonts w:ascii="Arial" w:hAnsi="Arial" w:cs="Arial"/>
          <w:sz w:val="28"/>
          <w:szCs w:val="28"/>
          <w:lang w:val="en-GB"/>
        </w:rPr>
        <w:t xml:space="preserve">are </w:t>
      </w:r>
      <w:r w:rsidRPr="001225AB">
        <w:rPr>
          <w:rFonts w:ascii="Arial" w:hAnsi="Arial" w:cs="Arial"/>
          <w:sz w:val="28"/>
          <w:szCs w:val="28"/>
          <w:lang w:val="en-GB"/>
        </w:rPr>
        <w:t>W</w:t>
      </w:r>
      <w:r w:rsidRPr="002B21D2">
        <w:rPr>
          <w:rFonts w:ascii="Arial" w:hAnsi="Arial" w:cs="Arial"/>
          <w:sz w:val="28"/>
          <w:szCs w:val="28"/>
          <w:lang w:val="en-GB"/>
        </w:rPr>
        <w:t xml:space="preserve">orkers are </w:t>
      </w:r>
      <w:r w:rsidRPr="001225AB">
        <w:rPr>
          <w:rFonts w:ascii="Arial" w:hAnsi="Arial" w:cs="Arial"/>
          <w:sz w:val="28"/>
          <w:szCs w:val="28"/>
          <w:lang w:val="en-GB"/>
        </w:rPr>
        <w:t>requir</w:t>
      </w:r>
      <w:r w:rsidRPr="002B21D2">
        <w:rPr>
          <w:rFonts w:ascii="Arial" w:hAnsi="Arial" w:cs="Arial"/>
          <w:sz w:val="28"/>
          <w:szCs w:val="28"/>
          <w:lang w:val="en-GB"/>
        </w:rPr>
        <w:t>ed</w:t>
      </w:r>
      <w:r w:rsidRPr="001225AB">
        <w:rPr>
          <w:rFonts w:ascii="Arial" w:hAnsi="Arial" w:cs="Arial"/>
          <w:sz w:val="28"/>
          <w:szCs w:val="28"/>
          <w:lang w:val="en-GB"/>
        </w:rPr>
        <w:t xml:space="preserve"> to report </w:t>
      </w:r>
      <w:r w:rsidRPr="002B21D2">
        <w:rPr>
          <w:rFonts w:ascii="Arial" w:hAnsi="Arial" w:cs="Arial"/>
          <w:sz w:val="28"/>
          <w:szCs w:val="28"/>
          <w:lang w:val="en-GB"/>
        </w:rPr>
        <w:t xml:space="preserve">all the </w:t>
      </w:r>
      <w:r w:rsidRPr="001225AB">
        <w:rPr>
          <w:rFonts w:ascii="Arial" w:hAnsi="Arial" w:cs="Arial"/>
          <w:sz w:val="28"/>
          <w:szCs w:val="28"/>
          <w:lang w:val="en-GB"/>
        </w:rPr>
        <w:t>suspected and confirmed cases</w:t>
      </w:r>
      <w:r w:rsidRPr="002B21D2">
        <w:rPr>
          <w:rFonts w:ascii="Arial" w:hAnsi="Arial" w:cs="Arial"/>
          <w:sz w:val="28"/>
          <w:szCs w:val="28"/>
          <w:lang w:val="en-GB"/>
        </w:rPr>
        <w:t>. Notifiable Medical Conditions refer to diseases that are of public health importance because they pose significant public health risks that can result in disease outbreaks or disease epidemics with high case fatality rates both nationally and internationally.</w:t>
      </w:r>
    </w:p>
    <w:p w14:paraId="5A606E1F" w14:textId="77777777" w:rsidR="005B0C28" w:rsidRPr="001225AB" w:rsidRDefault="005B0C28" w:rsidP="005B0C28">
      <w:pPr>
        <w:spacing w:after="0" w:line="360" w:lineRule="auto"/>
        <w:jc w:val="both"/>
        <w:rPr>
          <w:rFonts w:ascii="Arial" w:hAnsi="Arial" w:cs="Arial"/>
          <w:sz w:val="28"/>
          <w:szCs w:val="28"/>
        </w:rPr>
      </w:pPr>
    </w:p>
    <w:p w14:paraId="406D8AAE" w14:textId="00CEE200" w:rsidR="005B0C28"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shd w:val="clear" w:color="auto" w:fill="FFFFFF"/>
          <w:lang w:val="en-GB"/>
        </w:rPr>
        <w:t>The last time South Africa recorded positive cases of Mpox was in 2022 when five cases confirmed in the Western Cape, KwaZulu-Natal, Limpopo and Gauteng</w:t>
      </w:r>
      <w:r w:rsidR="00A534B4">
        <w:rPr>
          <w:rFonts w:ascii="Arial" w:hAnsi="Arial" w:cs="Arial"/>
          <w:sz w:val="28"/>
          <w:szCs w:val="28"/>
          <w:shd w:val="clear" w:color="auto" w:fill="FFFFFF"/>
          <w:lang w:val="en-GB"/>
        </w:rPr>
        <w:t>, with no cases reported in 2023</w:t>
      </w:r>
      <w:r w:rsidRPr="002B21D2">
        <w:rPr>
          <w:rFonts w:ascii="Arial" w:hAnsi="Arial" w:cs="Arial"/>
          <w:sz w:val="28"/>
          <w:szCs w:val="28"/>
          <w:shd w:val="clear" w:color="auto" w:fill="FFFFFF"/>
          <w:lang w:val="en-GB"/>
        </w:rPr>
        <w:t>. According to the World Health Organization multi-country outbreak of mpox p</w:t>
      </w:r>
      <w:r w:rsidRPr="002B21D2">
        <w:rPr>
          <w:rFonts w:ascii="Arial" w:hAnsi="Arial" w:cs="Arial"/>
          <w:sz w:val="28"/>
          <w:szCs w:val="28"/>
        </w:rPr>
        <w:t>ublished on 31 May 2024</w:t>
      </w:r>
      <w:r w:rsidRPr="002B21D2">
        <w:rPr>
          <w:rFonts w:ascii="Arial" w:hAnsi="Arial" w:cs="Arial"/>
          <w:sz w:val="28"/>
          <w:szCs w:val="28"/>
          <w:shd w:val="clear" w:color="auto" w:fill="FFFFFF"/>
          <w:lang w:val="en-GB"/>
        </w:rPr>
        <w:t>,</w:t>
      </w:r>
      <w:r w:rsidR="00A85581">
        <w:rPr>
          <w:rFonts w:ascii="Arial" w:hAnsi="Arial" w:cs="Arial"/>
          <w:sz w:val="28"/>
          <w:szCs w:val="28"/>
          <w:shd w:val="clear" w:color="auto" w:fill="FFFFFF"/>
          <w:lang w:val="en-GB"/>
        </w:rPr>
        <w:t xml:space="preserve"> cumulatively from 01 January 2022 through 30 April 2024, a total of 97 208 laboratory confirmed cases of mpox, including 186 deaths from 117 countries in all six WHO regions</w:t>
      </w:r>
      <w:r w:rsidR="00AD3636">
        <w:rPr>
          <w:rFonts w:ascii="Arial" w:hAnsi="Arial" w:cs="Arial"/>
          <w:sz w:val="28"/>
          <w:szCs w:val="28"/>
          <w:shd w:val="clear" w:color="auto" w:fill="FFFFFF"/>
          <w:lang w:val="en-GB"/>
        </w:rPr>
        <w:t xml:space="preserve"> were reported</w:t>
      </w:r>
      <w:r w:rsidR="00A85581">
        <w:rPr>
          <w:rFonts w:ascii="Arial" w:hAnsi="Arial" w:cs="Arial"/>
          <w:sz w:val="28"/>
          <w:szCs w:val="28"/>
          <w:shd w:val="clear" w:color="auto" w:fill="FFFFFF"/>
          <w:lang w:val="en-GB"/>
        </w:rPr>
        <w:t>. A total of</w:t>
      </w:r>
      <w:r w:rsidRPr="002B21D2">
        <w:rPr>
          <w:rFonts w:ascii="Arial" w:hAnsi="Arial" w:cs="Arial"/>
          <w:sz w:val="28"/>
          <w:szCs w:val="28"/>
          <w:lang w:val="en-GB"/>
        </w:rPr>
        <w:t xml:space="preserve"> 528 new laboratory-confirmed cases </w:t>
      </w:r>
      <w:r w:rsidR="00A85581">
        <w:rPr>
          <w:rFonts w:ascii="Arial" w:hAnsi="Arial" w:cs="Arial"/>
          <w:sz w:val="28"/>
          <w:szCs w:val="28"/>
          <w:lang w:val="en-GB"/>
        </w:rPr>
        <w:t>were reported in April, which represents a 21.2% decline in the number of new cases reported during the preceding month of March, including retrospectively reported for previous</w:t>
      </w:r>
      <w:r w:rsidR="00A534B4">
        <w:rPr>
          <w:rFonts w:ascii="Arial" w:hAnsi="Arial" w:cs="Arial"/>
          <w:sz w:val="28"/>
          <w:szCs w:val="28"/>
          <w:lang w:val="en-GB"/>
        </w:rPr>
        <w:t xml:space="preserve"> </w:t>
      </w:r>
      <w:r w:rsidR="00A85581">
        <w:rPr>
          <w:rFonts w:ascii="Arial" w:hAnsi="Arial" w:cs="Arial"/>
          <w:sz w:val="28"/>
          <w:szCs w:val="28"/>
          <w:lang w:val="en-GB"/>
        </w:rPr>
        <w:t>months</w:t>
      </w:r>
      <w:r w:rsidR="00A534B4">
        <w:rPr>
          <w:rFonts w:ascii="Arial" w:hAnsi="Arial" w:cs="Arial"/>
          <w:sz w:val="28"/>
          <w:szCs w:val="28"/>
          <w:lang w:val="en-GB"/>
        </w:rPr>
        <w:t>.</w:t>
      </w:r>
      <w:r w:rsidRPr="002B21D2">
        <w:rPr>
          <w:rFonts w:ascii="Arial" w:hAnsi="Arial" w:cs="Arial"/>
          <w:sz w:val="28"/>
          <w:szCs w:val="28"/>
          <w:lang w:val="en-GB"/>
        </w:rPr>
        <w:t xml:space="preserve"> </w:t>
      </w:r>
    </w:p>
    <w:p w14:paraId="456E12DF" w14:textId="77777777" w:rsidR="005B0C28" w:rsidRPr="002B21D2" w:rsidRDefault="005B0C28" w:rsidP="005B0C28">
      <w:pPr>
        <w:spacing w:after="0" w:line="360" w:lineRule="auto"/>
        <w:jc w:val="both"/>
        <w:rPr>
          <w:rFonts w:ascii="Arial" w:hAnsi="Arial" w:cs="Arial"/>
          <w:sz w:val="28"/>
          <w:szCs w:val="28"/>
          <w:lang w:val="en-GB"/>
        </w:rPr>
      </w:pPr>
    </w:p>
    <w:p w14:paraId="2AD6D0CD" w14:textId="77777777" w:rsidR="005B0C28"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The most affected WHO regions, in order by number of laboratory-confirmed cases, were the Region of the Americas, the African Region, the European Region, the South-East Asia Region, and the Western Pacific Region.  In the African Region, the DRC reported the most (99.6%) of the confirmed mpox cases in the reporting month.</w:t>
      </w:r>
    </w:p>
    <w:p w14:paraId="0E150F82" w14:textId="77777777" w:rsidR="005B0C28" w:rsidRPr="002B21D2" w:rsidRDefault="005B0C28" w:rsidP="005B0C28">
      <w:pPr>
        <w:spacing w:after="0" w:line="360" w:lineRule="auto"/>
        <w:jc w:val="both"/>
        <w:rPr>
          <w:rFonts w:ascii="Arial" w:hAnsi="Arial" w:cs="Arial"/>
          <w:sz w:val="28"/>
          <w:szCs w:val="28"/>
          <w:lang w:val="en-GB"/>
        </w:rPr>
      </w:pPr>
    </w:p>
    <w:p w14:paraId="5900A932"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The disease is caused by the monkeypox virus (MPXV), an orthopoxvirus that transmits from person to person through close contact, and from unknown animal reservoirs in East, Central, and West Africa.  This multi-country Mpox outbreak is characterised by sustained human-to-human transmission via direct skin-to-skin and sexual contact; people living with HIV are disproportionately affected.</w:t>
      </w:r>
    </w:p>
    <w:p w14:paraId="0967BB22" w14:textId="77777777" w:rsidR="005B0C28" w:rsidRPr="002B21D2" w:rsidRDefault="005B0C28" w:rsidP="005B0C28">
      <w:pPr>
        <w:spacing w:after="0" w:line="360" w:lineRule="auto"/>
        <w:jc w:val="both"/>
        <w:rPr>
          <w:rFonts w:ascii="Arial" w:hAnsi="Arial" w:cs="Arial"/>
          <w:sz w:val="28"/>
          <w:szCs w:val="28"/>
          <w:lang w:val="en-GB"/>
        </w:rPr>
      </w:pPr>
    </w:p>
    <w:p w14:paraId="6B82C444"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South Africa is amongst the countries currently experiencing the outbreak of </w:t>
      </w:r>
      <w:r w:rsidRPr="002B21D2">
        <w:rPr>
          <w:rFonts w:ascii="Arial" w:hAnsi="Arial" w:cs="Arial"/>
          <w:sz w:val="28"/>
          <w:szCs w:val="28"/>
          <w:shd w:val="clear" w:color="auto" w:fill="FFFFFF"/>
          <w:lang w:val="en-GB"/>
        </w:rPr>
        <w:t>Mpox, a viral infection which spreads between people and occasionally from the environment to people via objects and surfaces that have been touched by a person with mpox.</w:t>
      </w:r>
    </w:p>
    <w:p w14:paraId="12B05865" w14:textId="77777777" w:rsidR="005B0C28" w:rsidRPr="002B21D2" w:rsidRDefault="005B0C28" w:rsidP="005B0C28">
      <w:pPr>
        <w:spacing w:after="0" w:line="360" w:lineRule="auto"/>
        <w:jc w:val="both"/>
        <w:rPr>
          <w:rFonts w:ascii="Arial" w:hAnsi="Arial" w:cs="Arial"/>
          <w:sz w:val="28"/>
          <w:szCs w:val="28"/>
          <w:lang w:val="en-GB"/>
        </w:rPr>
      </w:pPr>
    </w:p>
    <w:p w14:paraId="123BDF8E" w14:textId="77777777" w:rsidR="005B0C28"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South Africa has recorded a total number of 5 laboratory-confirmed cases and one death. Two of these cases were confirmed in Gauteng and three in KwaZulu-Natal. The death that occurred is amongst the two cases reported in Gauteng. The patient passed-on on Monday, 10 June 2024 in Tembisa Hospital. All cases/patients are males aged between 30-39 years without travel history to the countries currently experiencing an outbreak, which suggests there is local transmission of this infectious disease in the country. </w:t>
      </w:r>
    </w:p>
    <w:p w14:paraId="1DFBFB4B" w14:textId="77777777" w:rsidR="005B0C28" w:rsidRPr="002B21D2" w:rsidRDefault="005B0C28" w:rsidP="005B0C28">
      <w:pPr>
        <w:spacing w:after="0" w:line="360" w:lineRule="auto"/>
        <w:jc w:val="both"/>
        <w:rPr>
          <w:rFonts w:ascii="Arial" w:hAnsi="Arial" w:cs="Arial"/>
          <w:sz w:val="28"/>
          <w:szCs w:val="28"/>
          <w:lang w:val="en-GB"/>
        </w:rPr>
      </w:pPr>
    </w:p>
    <w:p w14:paraId="77BE1A68" w14:textId="1BECFEF7" w:rsidR="005B0C28" w:rsidRPr="003241D5" w:rsidRDefault="005B0C28" w:rsidP="005B0C28">
      <w:pPr>
        <w:spacing w:after="0" w:line="360" w:lineRule="auto"/>
        <w:jc w:val="both"/>
        <w:rPr>
          <w:rFonts w:ascii="Arial" w:eastAsia="Times New Roman" w:hAnsi="Arial" w:cs="Arial"/>
          <w:kern w:val="36"/>
          <w:sz w:val="28"/>
          <w:szCs w:val="28"/>
          <w:lang w:val="en-GB" w:eastAsia="en-ZA"/>
          <w14:ligatures w14:val="none"/>
        </w:rPr>
      </w:pPr>
      <w:r w:rsidRPr="002B21D2">
        <w:rPr>
          <w:rFonts w:ascii="Arial" w:hAnsi="Arial" w:cs="Arial"/>
          <w:sz w:val="28"/>
          <w:szCs w:val="28"/>
          <w:lang w:val="en-GB"/>
        </w:rPr>
        <w:t xml:space="preserve">All five cases were classified severe cases as per WHO definition requiring hospitalisation. The cases have co-morbidities and have been identified as key populations, </w:t>
      </w:r>
      <w:r w:rsidRPr="002B21D2">
        <w:rPr>
          <w:rFonts w:ascii="Arial" w:eastAsia="Times New Roman" w:hAnsi="Arial" w:cs="Arial"/>
          <w:kern w:val="36"/>
          <w:sz w:val="28"/>
          <w:szCs w:val="28"/>
          <w:lang w:val="en-GB" w:eastAsia="en-ZA"/>
          <w14:ligatures w14:val="none"/>
        </w:rPr>
        <w:t xml:space="preserve">Men who have Sex with Men (MSM). Thus, the Department is reaching out to organisations working on HIV programmes and with key populations in addition to other stakeholders to implement targeted communication to intensify awareness about the outbreak and local transmission of the disease. </w:t>
      </w:r>
    </w:p>
    <w:p w14:paraId="5308091B" w14:textId="77777777" w:rsidR="005B0C28" w:rsidRPr="002B21D2" w:rsidRDefault="005B0C28" w:rsidP="005B0C28">
      <w:pPr>
        <w:spacing w:after="0" w:line="360" w:lineRule="auto"/>
        <w:jc w:val="both"/>
        <w:rPr>
          <w:rFonts w:ascii="Arial" w:hAnsi="Arial" w:cs="Arial"/>
          <w:sz w:val="28"/>
          <w:szCs w:val="28"/>
          <w:shd w:val="clear" w:color="auto" w:fill="FFFFFF"/>
        </w:rPr>
      </w:pPr>
    </w:p>
    <w:p w14:paraId="76523E6D" w14:textId="1AC33E6D" w:rsidR="005B0C28" w:rsidRPr="002B21D2" w:rsidRDefault="00DF51EE" w:rsidP="005B0C28">
      <w:pPr>
        <w:spacing w:after="0" w:line="360" w:lineRule="auto"/>
        <w:jc w:val="both"/>
        <w:rPr>
          <w:rFonts w:ascii="Arial" w:eastAsia="Times New Roman" w:hAnsi="Arial" w:cs="Arial"/>
          <w:kern w:val="36"/>
          <w:sz w:val="28"/>
          <w:szCs w:val="28"/>
          <w:lang w:val="en-GB" w:eastAsia="en-ZA"/>
          <w14:ligatures w14:val="none"/>
        </w:rPr>
      </w:pPr>
      <w:r w:rsidRPr="00DF51EE">
        <w:rPr>
          <w:rFonts w:ascii="Arial" w:eastAsia="Times New Roman" w:hAnsi="Arial" w:cs="Arial"/>
          <w:kern w:val="36"/>
          <w:sz w:val="28"/>
          <w:szCs w:val="28"/>
          <w:lang w:val="en-GB" w:eastAsia="en-ZA"/>
          <w14:ligatures w14:val="none"/>
        </w:rPr>
        <w:t>One</w:t>
      </w:r>
      <w:r>
        <w:rPr>
          <w:rFonts w:ascii="Arial" w:eastAsia="Times New Roman" w:hAnsi="Arial" w:cs="Arial"/>
          <w:kern w:val="36"/>
          <w:sz w:val="28"/>
          <w:szCs w:val="28"/>
          <w:lang w:val="en-GB" w:eastAsia="en-ZA"/>
          <w14:ligatures w14:val="none"/>
        </w:rPr>
        <w:t xml:space="preserve"> patient has been </w:t>
      </w:r>
      <w:r w:rsidRPr="00DF51EE">
        <w:rPr>
          <w:rFonts w:ascii="Arial" w:eastAsia="Times New Roman" w:hAnsi="Arial" w:cs="Arial"/>
          <w:kern w:val="36"/>
          <w:sz w:val="28"/>
          <w:szCs w:val="28"/>
          <w:lang w:val="en-GB" w:eastAsia="en-ZA"/>
          <w14:ligatures w14:val="none"/>
        </w:rPr>
        <w:t>discharge</w:t>
      </w:r>
      <w:r>
        <w:rPr>
          <w:rFonts w:ascii="Arial" w:eastAsia="Times New Roman" w:hAnsi="Arial" w:cs="Arial"/>
          <w:kern w:val="36"/>
          <w:sz w:val="28"/>
          <w:szCs w:val="28"/>
          <w:lang w:val="en-GB" w:eastAsia="en-ZA"/>
          <w14:ligatures w14:val="none"/>
        </w:rPr>
        <w:t>d, o</w:t>
      </w:r>
      <w:r w:rsidRPr="00DF51EE">
        <w:rPr>
          <w:rFonts w:ascii="Arial" w:eastAsia="Times New Roman" w:hAnsi="Arial" w:cs="Arial"/>
          <w:kern w:val="36"/>
          <w:sz w:val="28"/>
          <w:szCs w:val="28"/>
          <w:lang w:val="en-GB" w:eastAsia="en-ZA"/>
          <w14:ligatures w14:val="none"/>
        </w:rPr>
        <w:t xml:space="preserve">ne discharged for </w:t>
      </w:r>
      <w:r w:rsidR="0066647B">
        <w:rPr>
          <w:rFonts w:ascii="Arial" w:eastAsia="Times New Roman" w:hAnsi="Arial" w:cs="Arial"/>
          <w:kern w:val="36"/>
          <w:sz w:val="28"/>
          <w:szCs w:val="28"/>
          <w:lang w:val="en-GB" w:eastAsia="en-ZA"/>
          <w14:ligatures w14:val="none"/>
        </w:rPr>
        <w:t xml:space="preserve">home </w:t>
      </w:r>
      <w:r w:rsidRPr="00DF51EE">
        <w:rPr>
          <w:rFonts w:ascii="Arial" w:eastAsia="Times New Roman" w:hAnsi="Arial" w:cs="Arial"/>
          <w:kern w:val="36"/>
          <w:sz w:val="28"/>
          <w:szCs w:val="28"/>
          <w:lang w:val="en-GB" w:eastAsia="en-ZA"/>
          <w14:ligatures w14:val="none"/>
        </w:rPr>
        <w:t>isolation and follow up</w:t>
      </w:r>
      <w:r w:rsidR="0066647B">
        <w:rPr>
          <w:rFonts w:ascii="Arial" w:eastAsia="Times New Roman" w:hAnsi="Arial" w:cs="Arial"/>
          <w:kern w:val="36"/>
          <w:sz w:val="28"/>
          <w:szCs w:val="28"/>
          <w:lang w:val="en-GB" w:eastAsia="en-ZA"/>
          <w14:ligatures w14:val="none"/>
        </w:rPr>
        <w:t>s being made</w:t>
      </w:r>
      <w:r w:rsidRPr="00DF51EE">
        <w:rPr>
          <w:rFonts w:ascii="Arial" w:eastAsia="Times New Roman" w:hAnsi="Arial" w:cs="Arial"/>
          <w:kern w:val="36"/>
          <w:sz w:val="28"/>
          <w:szCs w:val="28"/>
          <w:lang w:val="en-GB" w:eastAsia="en-ZA"/>
          <w14:ligatures w14:val="none"/>
        </w:rPr>
        <w:t>. Two</w:t>
      </w:r>
      <w:r w:rsidR="00613459">
        <w:rPr>
          <w:rFonts w:ascii="Arial" w:eastAsia="Times New Roman" w:hAnsi="Arial" w:cs="Arial"/>
          <w:kern w:val="36"/>
          <w:sz w:val="28"/>
          <w:szCs w:val="28"/>
          <w:lang w:val="en-GB" w:eastAsia="en-ZA"/>
          <w14:ligatures w14:val="none"/>
        </w:rPr>
        <w:t xml:space="preserve"> cases</w:t>
      </w:r>
      <w:r w:rsidRPr="00DF51EE">
        <w:rPr>
          <w:rFonts w:ascii="Arial" w:eastAsia="Times New Roman" w:hAnsi="Arial" w:cs="Arial"/>
          <w:kern w:val="36"/>
          <w:sz w:val="28"/>
          <w:szCs w:val="28"/>
          <w:lang w:val="en-GB" w:eastAsia="en-ZA"/>
          <w14:ligatures w14:val="none"/>
        </w:rPr>
        <w:t xml:space="preserve"> </w:t>
      </w:r>
      <w:r w:rsidR="0066647B">
        <w:rPr>
          <w:rFonts w:ascii="Arial" w:eastAsia="Times New Roman" w:hAnsi="Arial" w:cs="Arial"/>
          <w:kern w:val="36"/>
          <w:sz w:val="28"/>
          <w:szCs w:val="28"/>
          <w:lang w:val="en-GB" w:eastAsia="en-ZA"/>
          <w14:ligatures w14:val="none"/>
        </w:rPr>
        <w:t xml:space="preserve">are </w:t>
      </w:r>
      <w:r w:rsidRPr="00DF51EE">
        <w:rPr>
          <w:rFonts w:ascii="Arial" w:eastAsia="Times New Roman" w:hAnsi="Arial" w:cs="Arial"/>
          <w:kern w:val="36"/>
          <w:sz w:val="28"/>
          <w:szCs w:val="28"/>
          <w:lang w:val="en-GB" w:eastAsia="en-ZA"/>
          <w14:ligatures w14:val="none"/>
        </w:rPr>
        <w:t>still admitted</w:t>
      </w:r>
      <w:r w:rsidR="00613459">
        <w:rPr>
          <w:rFonts w:ascii="Arial" w:eastAsia="Times New Roman" w:hAnsi="Arial" w:cs="Arial"/>
          <w:kern w:val="36"/>
          <w:sz w:val="28"/>
          <w:szCs w:val="28"/>
          <w:lang w:val="en-GB" w:eastAsia="en-ZA"/>
          <w14:ligatures w14:val="none"/>
        </w:rPr>
        <w:t xml:space="preserve"> in hospital.</w:t>
      </w:r>
      <w:r w:rsidR="005B0C28" w:rsidRPr="002B21D2">
        <w:rPr>
          <w:rFonts w:ascii="Arial" w:hAnsi="Arial" w:cs="Arial"/>
          <w:sz w:val="28"/>
          <w:szCs w:val="28"/>
          <w:lang w:val="en-GB"/>
        </w:rPr>
        <w:t xml:space="preserve"> Sequencing analysis of three of the cases revealed mpox clade IIb, in keeping with the multi-country mpox outbreak which began in 2022.</w:t>
      </w:r>
    </w:p>
    <w:p w14:paraId="4C31D1D6" w14:textId="77777777" w:rsidR="005B0C28" w:rsidRPr="002B21D2" w:rsidRDefault="005B0C28" w:rsidP="005B0C28">
      <w:pPr>
        <w:spacing w:after="0" w:line="360" w:lineRule="auto"/>
        <w:jc w:val="center"/>
        <w:rPr>
          <w:rFonts w:ascii="Arial" w:hAnsi="Arial" w:cs="Arial"/>
          <w:b/>
          <w:bCs/>
          <w:sz w:val="28"/>
          <w:szCs w:val="28"/>
          <w:lang w:val="en-GB"/>
        </w:rPr>
      </w:pPr>
      <w:r w:rsidRPr="002B21D2">
        <w:rPr>
          <w:rFonts w:ascii="Arial" w:hAnsi="Arial" w:cs="Arial"/>
          <w:b/>
          <w:bCs/>
          <w:sz w:val="28"/>
          <w:szCs w:val="28"/>
          <w:lang w:val="en-GB"/>
        </w:rPr>
        <w:t>Breakdown of the cases</w:t>
      </w:r>
    </w:p>
    <w:tbl>
      <w:tblPr>
        <w:tblStyle w:val="TableGrid"/>
        <w:tblW w:w="9067" w:type="dxa"/>
        <w:tblLook w:val="04A0" w:firstRow="1" w:lastRow="0" w:firstColumn="1" w:lastColumn="0" w:noHBand="0" w:noVBand="1"/>
      </w:tblPr>
      <w:tblGrid>
        <w:gridCol w:w="1317"/>
        <w:gridCol w:w="2399"/>
        <w:gridCol w:w="2436"/>
        <w:gridCol w:w="1034"/>
        <w:gridCol w:w="1881"/>
      </w:tblGrid>
      <w:tr w:rsidR="005B0C28" w:rsidRPr="002B21D2" w14:paraId="4BCDC089" w14:textId="77777777" w:rsidTr="00DF1441">
        <w:trPr>
          <w:trHeight w:val="381"/>
        </w:trPr>
        <w:tc>
          <w:tcPr>
            <w:tcW w:w="1413" w:type="dxa"/>
            <w:shd w:val="clear" w:color="auto" w:fill="D9D9D9" w:themeFill="background1" w:themeFillShade="D9"/>
          </w:tcPr>
          <w:p w14:paraId="2E4BCA7F" w14:textId="77777777" w:rsidR="005B0C28" w:rsidRPr="002B21D2" w:rsidRDefault="005B0C28" w:rsidP="00DF1441">
            <w:pPr>
              <w:spacing w:line="360" w:lineRule="auto"/>
              <w:jc w:val="both"/>
              <w:rPr>
                <w:rFonts w:ascii="Arial" w:hAnsi="Arial" w:cs="Arial"/>
                <w:b/>
                <w:bCs/>
                <w:sz w:val="28"/>
                <w:szCs w:val="28"/>
                <w:lang w:val="en-GB"/>
              </w:rPr>
            </w:pPr>
            <w:r w:rsidRPr="002B21D2">
              <w:rPr>
                <w:rFonts w:ascii="Arial" w:hAnsi="Arial" w:cs="Arial"/>
                <w:b/>
                <w:bCs/>
                <w:sz w:val="28"/>
                <w:szCs w:val="28"/>
                <w:lang w:val="en-GB"/>
              </w:rPr>
              <w:t>Cases</w:t>
            </w:r>
          </w:p>
        </w:tc>
        <w:tc>
          <w:tcPr>
            <w:tcW w:w="2551" w:type="dxa"/>
            <w:shd w:val="clear" w:color="auto" w:fill="D9D9D9" w:themeFill="background1" w:themeFillShade="D9"/>
          </w:tcPr>
          <w:p w14:paraId="2CA4361E" w14:textId="77777777" w:rsidR="005B0C28" w:rsidRPr="002B21D2" w:rsidRDefault="005B0C28" w:rsidP="00DF1441">
            <w:pPr>
              <w:spacing w:line="360" w:lineRule="auto"/>
              <w:jc w:val="both"/>
              <w:rPr>
                <w:rFonts w:ascii="Arial" w:hAnsi="Arial" w:cs="Arial"/>
                <w:b/>
                <w:bCs/>
                <w:sz w:val="28"/>
                <w:szCs w:val="28"/>
                <w:lang w:val="en-GB"/>
              </w:rPr>
            </w:pPr>
            <w:r w:rsidRPr="002B21D2">
              <w:rPr>
                <w:rFonts w:ascii="Arial" w:hAnsi="Arial" w:cs="Arial"/>
                <w:b/>
                <w:bCs/>
                <w:sz w:val="28"/>
                <w:szCs w:val="28"/>
                <w:lang w:val="en-GB"/>
              </w:rPr>
              <w:t>Confirmation Date</w:t>
            </w:r>
          </w:p>
        </w:tc>
        <w:tc>
          <w:tcPr>
            <w:tcW w:w="2552" w:type="dxa"/>
            <w:shd w:val="clear" w:color="auto" w:fill="D9D9D9" w:themeFill="background1" w:themeFillShade="D9"/>
          </w:tcPr>
          <w:p w14:paraId="32BCD76B" w14:textId="77777777" w:rsidR="005B0C28" w:rsidRPr="002B21D2" w:rsidRDefault="005B0C28" w:rsidP="00DF1441">
            <w:pPr>
              <w:spacing w:line="360" w:lineRule="auto"/>
              <w:jc w:val="both"/>
              <w:rPr>
                <w:rFonts w:ascii="Arial" w:hAnsi="Arial" w:cs="Arial"/>
                <w:b/>
                <w:bCs/>
                <w:sz w:val="28"/>
                <w:szCs w:val="28"/>
                <w:lang w:val="en-GB"/>
              </w:rPr>
            </w:pPr>
            <w:r w:rsidRPr="002B21D2">
              <w:rPr>
                <w:rFonts w:ascii="Arial" w:hAnsi="Arial" w:cs="Arial"/>
                <w:b/>
                <w:bCs/>
                <w:sz w:val="28"/>
                <w:szCs w:val="28"/>
                <w:lang w:val="en-GB"/>
              </w:rPr>
              <w:t>Area/Province</w:t>
            </w:r>
          </w:p>
        </w:tc>
        <w:tc>
          <w:tcPr>
            <w:tcW w:w="1134" w:type="dxa"/>
            <w:shd w:val="clear" w:color="auto" w:fill="D9D9D9" w:themeFill="background1" w:themeFillShade="D9"/>
          </w:tcPr>
          <w:p w14:paraId="11A0F865" w14:textId="77777777" w:rsidR="005B0C28" w:rsidRPr="002B21D2" w:rsidRDefault="005B0C28" w:rsidP="00DF1441">
            <w:pPr>
              <w:spacing w:line="360" w:lineRule="auto"/>
              <w:jc w:val="both"/>
              <w:rPr>
                <w:rFonts w:ascii="Arial" w:hAnsi="Arial" w:cs="Arial"/>
                <w:b/>
                <w:bCs/>
                <w:sz w:val="28"/>
                <w:szCs w:val="28"/>
                <w:lang w:val="en-GB"/>
              </w:rPr>
            </w:pPr>
            <w:r w:rsidRPr="002B21D2">
              <w:rPr>
                <w:rFonts w:ascii="Arial" w:hAnsi="Arial" w:cs="Arial"/>
                <w:b/>
                <w:bCs/>
                <w:sz w:val="28"/>
                <w:szCs w:val="28"/>
                <w:lang w:val="en-GB"/>
              </w:rPr>
              <w:t>Age</w:t>
            </w:r>
          </w:p>
        </w:tc>
        <w:tc>
          <w:tcPr>
            <w:tcW w:w="1417" w:type="dxa"/>
            <w:shd w:val="clear" w:color="auto" w:fill="D9D9D9" w:themeFill="background1" w:themeFillShade="D9"/>
          </w:tcPr>
          <w:p w14:paraId="6765E9F8" w14:textId="77777777" w:rsidR="005B0C28" w:rsidRPr="002B21D2" w:rsidRDefault="005B0C28" w:rsidP="00DF1441">
            <w:pPr>
              <w:spacing w:line="360" w:lineRule="auto"/>
              <w:jc w:val="both"/>
              <w:rPr>
                <w:rFonts w:ascii="Arial" w:hAnsi="Arial" w:cs="Arial"/>
                <w:b/>
                <w:bCs/>
                <w:sz w:val="28"/>
                <w:szCs w:val="28"/>
                <w:lang w:val="en-GB"/>
              </w:rPr>
            </w:pPr>
            <w:r w:rsidRPr="002B21D2">
              <w:rPr>
                <w:rFonts w:ascii="Arial" w:hAnsi="Arial" w:cs="Arial"/>
                <w:b/>
                <w:bCs/>
                <w:sz w:val="28"/>
                <w:szCs w:val="28"/>
                <w:lang w:val="en-GB"/>
              </w:rPr>
              <w:t>Hospitalised</w:t>
            </w:r>
          </w:p>
        </w:tc>
      </w:tr>
      <w:tr w:rsidR="005B0C28" w:rsidRPr="002B21D2" w14:paraId="56E3E7FB" w14:textId="77777777" w:rsidTr="00DF1441">
        <w:trPr>
          <w:trHeight w:val="381"/>
        </w:trPr>
        <w:tc>
          <w:tcPr>
            <w:tcW w:w="1413" w:type="dxa"/>
          </w:tcPr>
          <w:p w14:paraId="2F6021C2"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Case 1</w:t>
            </w:r>
          </w:p>
        </w:tc>
        <w:tc>
          <w:tcPr>
            <w:tcW w:w="2551" w:type="dxa"/>
          </w:tcPr>
          <w:p w14:paraId="15FBEF17"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8 May 2024</w:t>
            </w:r>
          </w:p>
        </w:tc>
        <w:tc>
          <w:tcPr>
            <w:tcW w:w="2552" w:type="dxa"/>
          </w:tcPr>
          <w:p w14:paraId="7D0FF023"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Sedibeng, GP</w:t>
            </w:r>
          </w:p>
        </w:tc>
        <w:tc>
          <w:tcPr>
            <w:tcW w:w="1134" w:type="dxa"/>
          </w:tcPr>
          <w:p w14:paraId="677C640D"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35</w:t>
            </w:r>
          </w:p>
        </w:tc>
        <w:tc>
          <w:tcPr>
            <w:tcW w:w="1417" w:type="dxa"/>
          </w:tcPr>
          <w:p w14:paraId="2A1731F2"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Yes</w:t>
            </w:r>
          </w:p>
        </w:tc>
      </w:tr>
      <w:tr w:rsidR="005B0C28" w:rsidRPr="002B21D2" w14:paraId="03E66A64" w14:textId="77777777" w:rsidTr="00DF1441">
        <w:trPr>
          <w:trHeight w:val="271"/>
        </w:trPr>
        <w:tc>
          <w:tcPr>
            <w:tcW w:w="1413" w:type="dxa"/>
          </w:tcPr>
          <w:p w14:paraId="00476493"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Case 2</w:t>
            </w:r>
          </w:p>
        </w:tc>
        <w:tc>
          <w:tcPr>
            <w:tcW w:w="2551" w:type="dxa"/>
          </w:tcPr>
          <w:p w14:paraId="4DEA0D74"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21 May 2024</w:t>
            </w:r>
          </w:p>
        </w:tc>
        <w:tc>
          <w:tcPr>
            <w:tcW w:w="2552" w:type="dxa"/>
          </w:tcPr>
          <w:p w14:paraId="271301DF"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eThekwini, KZN</w:t>
            </w:r>
          </w:p>
        </w:tc>
        <w:tc>
          <w:tcPr>
            <w:tcW w:w="1134" w:type="dxa"/>
          </w:tcPr>
          <w:p w14:paraId="1F3B8B00"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39</w:t>
            </w:r>
          </w:p>
        </w:tc>
        <w:tc>
          <w:tcPr>
            <w:tcW w:w="1417" w:type="dxa"/>
          </w:tcPr>
          <w:p w14:paraId="4A504150"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Yes</w:t>
            </w:r>
          </w:p>
        </w:tc>
      </w:tr>
      <w:tr w:rsidR="005B0C28" w:rsidRPr="002B21D2" w14:paraId="0737B631" w14:textId="77777777" w:rsidTr="00DF1441">
        <w:trPr>
          <w:trHeight w:val="381"/>
        </w:trPr>
        <w:tc>
          <w:tcPr>
            <w:tcW w:w="1413" w:type="dxa"/>
          </w:tcPr>
          <w:p w14:paraId="398C2704"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Case 3</w:t>
            </w:r>
          </w:p>
        </w:tc>
        <w:tc>
          <w:tcPr>
            <w:tcW w:w="2551" w:type="dxa"/>
          </w:tcPr>
          <w:p w14:paraId="50C19021"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31 May 2024</w:t>
            </w:r>
          </w:p>
        </w:tc>
        <w:tc>
          <w:tcPr>
            <w:tcW w:w="2552" w:type="dxa"/>
          </w:tcPr>
          <w:p w14:paraId="2CC32D5D"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eThekwini, KZN</w:t>
            </w:r>
          </w:p>
        </w:tc>
        <w:tc>
          <w:tcPr>
            <w:tcW w:w="1134" w:type="dxa"/>
          </w:tcPr>
          <w:p w14:paraId="56B0076D"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30</w:t>
            </w:r>
          </w:p>
        </w:tc>
        <w:tc>
          <w:tcPr>
            <w:tcW w:w="1417" w:type="dxa"/>
          </w:tcPr>
          <w:p w14:paraId="3A19B4BE"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Yes</w:t>
            </w:r>
          </w:p>
        </w:tc>
      </w:tr>
      <w:tr w:rsidR="005B0C28" w:rsidRPr="002B21D2" w14:paraId="71630A9A" w14:textId="77777777" w:rsidTr="00DF1441">
        <w:trPr>
          <w:trHeight w:val="369"/>
        </w:trPr>
        <w:tc>
          <w:tcPr>
            <w:tcW w:w="1413" w:type="dxa"/>
          </w:tcPr>
          <w:p w14:paraId="7F552F1E"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Case 4</w:t>
            </w:r>
          </w:p>
        </w:tc>
        <w:tc>
          <w:tcPr>
            <w:tcW w:w="2551" w:type="dxa"/>
          </w:tcPr>
          <w:p w14:paraId="01FD9062"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03 June 2024</w:t>
            </w:r>
          </w:p>
        </w:tc>
        <w:tc>
          <w:tcPr>
            <w:tcW w:w="2552" w:type="dxa"/>
          </w:tcPr>
          <w:p w14:paraId="7798A417"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eThekwini, KZN</w:t>
            </w:r>
          </w:p>
        </w:tc>
        <w:tc>
          <w:tcPr>
            <w:tcW w:w="1134" w:type="dxa"/>
          </w:tcPr>
          <w:p w14:paraId="35DBF1CE"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33</w:t>
            </w:r>
          </w:p>
        </w:tc>
        <w:tc>
          <w:tcPr>
            <w:tcW w:w="1417" w:type="dxa"/>
          </w:tcPr>
          <w:p w14:paraId="51D84885"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Yes</w:t>
            </w:r>
          </w:p>
        </w:tc>
      </w:tr>
      <w:tr w:rsidR="005B0C28" w:rsidRPr="002B21D2" w14:paraId="76358449" w14:textId="77777777" w:rsidTr="00DF1441">
        <w:trPr>
          <w:trHeight w:val="381"/>
        </w:trPr>
        <w:tc>
          <w:tcPr>
            <w:tcW w:w="1413" w:type="dxa"/>
          </w:tcPr>
          <w:p w14:paraId="7F9AB28C"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Case 5</w:t>
            </w:r>
          </w:p>
        </w:tc>
        <w:tc>
          <w:tcPr>
            <w:tcW w:w="2551" w:type="dxa"/>
          </w:tcPr>
          <w:p w14:paraId="6CC0A7C2"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07 June 2024</w:t>
            </w:r>
          </w:p>
        </w:tc>
        <w:tc>
          <w:tcPr>
            <w:tcW w:w="2552" w:type="dxa"/>
          </w:tcPr>
          <w:p w14:paraId="35F0A3E8"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Tembisa, GP</w:t>
            </w:r>
          </w:p>
        </w:tc>
        <w:tc>
          <w:tcPr>
            <w:tcW w:w="1134" w:type="dxa"/>
          </w:tcPr>
          <w:p w14:paraId="6BCCBA72"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37</w:t>
            </w:r>
          </w:p>
        </w:tc>
        <w:tc>
          <w:tcPr>
            <w:tcW w:w="1417" w:type="dxa"/>
          </w:tcPr>
          <w:p w14:paraId="281985FA" w14:textId="77777777" w:rsidR="005B0C28" w:rsidRPr="002B21D2" w:rsidRDefault="005B0C28" w:rsidP="00DF1441">
            <w:pPr>
              <w:spacing w:line="360" w:lineRule="auto"/>
              <w:jc w:val="both"/>
              <w:rPr>
                <w:rFonts w:ascii="Arial" w:hAnsi="Arial" w:cs="Arial"/>
                <w:sz w:val="28"/>
                <w:szCs w:val="28"/>
                <w:lang w:val="en-GB"/>
              </w:rPr>
            </w:pPr>
            <w:r w:rsidRPr="002B21D2">
              <w:rPr>
                <w:rFonts w:ascii="Arial" w:hAnsi="Arial" w:cs="Arial"/>
                <w:sz w:val="28"/>
                <w:szCs w:val="28"/>
                <w:lang w:val="en-GB"/>
              </w:rPr>
              <w:t>Yes</w:t>
            </w:r>
          </w:p>
        </w:tc>
      </w:tr>
    </w:tbl>
    <w:p w14:paraId="7E20D4C2" w14:textId="77777777" w:rsidR="005B0C28" w:rsidRPr="002B21D2" w:rsidRDefault="005B0C28" w:rsidP="005B0C28">
      <w:pPr>
        <w:spacing w:after="0" w:line="360" w:lineRule="auto"/>
        <w:jc w:val="both"/>
        <w:rPr>
          <w:rFonts w:ascii="Arial" w:hAnsi="Arial" w:cs="Arial"/>
          <w:sz w:val="28"/>
          <w:szCs w:val="28"/>
          <w:lang w:val="en-GB"/>
        </w:rPr>
      </w:pPr>
    </w:p>
    <w:p w14:paraId="4C8F1A93" w14:textId="296AFEA2"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All National Health Laboratory Service (NHLS) laboratories have been sensitised to the ongoing outbreak and are referring samples for testing to the NICD. Private sector laboratories are also testing for mpox while NICD serves as the reference laboratory. Since the beginning of 2024, the NICD has received twelve mpox test requests, with three testing positive. The other two cases were diagnosed by private laboratories.  Guideline</w:t>
      </w:r>
      <w:r w:rsidR="00E87DC7">
        <w:rPr>
          <w:rFonts w:ascii="Arial" w:hAnsi="Arial" w:cs="Arial"/>
          <w:sz w:val="28"/>
          <w:szCs w:val="28"/>
          <w:lang w:val="en-GB"/>
        </w:rPr>
        <w:t>s</w:t>
      </w:r>
      <w:r w:rsidRPr="002B21D2">
        <w:rPr>
          <w:rFonts w:ascii="Arial" w:hAnsi="Arial" w:cs="Arial"/>
          <w:sz w:val="28"/>
          <w:szCs w:val="28"/>
          <w:lang w:val="en-GB"/>
        </w:rPr>
        <w:t xml:space="preserve"> have been updated and shared widely across networks of healthcare workers using various platform. </w:t>
      </w:r>
    </w:p>
    <w:p w14:paraId="4E0E33AD" w14:textId="77777777" w:rsidR="005B0C28" w:rsidRPr="002B21D2" w:rsidRDefault="005B0C28" w:rsidP="005B0C28">
      <w:pPr>
        <w:spacing w:after="0" w:line="360" w:lineRule="auto"/>
        <w:jc w:val="both"/>
        <w:rPr>
          <w:rFonts w:ascii="Arial" w:hAnsi="Arial" w:cs="Arial"/>
          <w:b/>
          <w:bCs/>
          <w:sz w:val="28"/>
          <w:szCs w:val="28"/>
          <w:lang w:val="en-GB"/>
        </w:rPr>
      </w:pPr>
    </w:p>
    <w:p w14:paraId="11E15170" w14:textId="77777777" w:rsidR="005B0C28" w:rsidRPr="002B21D2" w:rsidRDefault="005B0C28" w:rsidP="005B0C28">
      <w:pPr>
        <w:spacing w:after="0" w:line="360" w:lineRule="auto"/>
        <w:jc w:val="both"/>
        <w:rPr>
          <w:rFonts w:ascii="Arial" w:hAnsi="Arial" w:cs="Arial"/>
          <w:b/>
          <w:bCs/>
          <w:sz w:val="28"/>
          <w:szCs w:val="28"/>
          <w:lang w:val="en-GB"/>
        </w:rPr>
      </w:pPr>
      <w:r w:rsidRPr="002B21D2">
        <w:rPr>
          <w:rFonts w:ascii="Arial" w:hAnsi="Arial" w:cs="Arial"/>
          <w:b/>
          <w:bCs/>
          <w:sz w:val="28"/>
          <w:szCs w:val="28"/>
          <w:lang w:val="en-GB"/>
        </w:rPr>
        <w:t>EPIDEMIOLOGY AND SURVEILLANCE</w:t>
      </w:r>
    </w:p>
    <w:p w14:paraId="26262A99" w14:textId="2EA2C243" w:rsidR="005B0C28" w:rsidRPr="00A534B4" w:rsidRDefault="005B0C28" w:rsidP="00A534B4">
      <w:pPr>
        <w:spacing w:after="0" w:line="360" w:lineRule="auto"/>
        <w:jc w:val="both"/>
        <w:rPr>
          <w:rFonts w:ascii="Arial" w:hAnsi="Arial" w:cs="Arial"/>
          <w:sz w:val="28"/>
          <w:szCs w:val="28"/>
          <w:shd w:val="clear" w:color="auto" w:fill="FFFFFF"/>
          <w:lang w:val="en-GB"/>
        </w:rPr>
      </w:pPr>
      <w:r w:rsidRPr="002B21D2">
        <w:rPr>
          <w:rFonts w:ascii="Arial" w:hAnsi="Arial" w:cs="Arial"/>
          <w:sz w:val="28"/>
          <w:szCs w:val="28"/>
          <w:shd w:val="clear" w:color="auto" w:fill="FFFFFF"/>
          <w:lang w:val="en-GB"/>
        </w:rPr>
        <w:t>The National Institute for Communicable Diseases (NICD) continues</w:t>
      </w:r>
      <w:r w:rsidRPr="002B21D2">
        <w:rPr>
          <w:rFonts w:ascii="Arial" w:hAnsi="Arial" w:cs="Arial"/>
          <w:sz w:val="28"/>
          <w:szCs w:val="28"/>
          <w:lang w:val="en-GB"/>
        </w:rPr>
        <w:t xml:space="preserve"> with epidemiological and surveillance activities to </w:t>
      </w:r>
      <w:r w:rsidRPr="002B21D2">
        <w:rPr>
          <w:rStyle w:val="Emphasis"/>
          <w:rFonts w:ascii="Arial" w:hAnsi="Arial" w:cs="Arial"/>
          <w:i w:val="0"/>
          <w:iCs w:val="0"/>
          <w:sz w:val="28"/>
          <w:szCs w:val="28"/>
          <w:shd w:val="clear" w:color="auto" w:fill="FFFFFF"/>
          <w:lang w:val="en-GB"/>
        </w:rPr>
        <w:t>identify cases for investigation to estimate the magnitude of disease</w:t>
      </w:r>
      <w:r w:rsidRPr="002B21D2">
        <w:rPr>
          <w:rFonts w:ascii="Arial" w:hAnsi="Arial" w:cs="Arial"/>
          <w:sz w:val="28"/>
          <w:szCs w:val="28"/>
          <w:shd w:val="clear" w:color="auto" w:fill="FFFFFF"/>
          <w:lang w:val="en-GB"/>
        </w:rPr>
        <w:t xml:space="preserve"> through systematic data collection and analysis. </w:t>
      </w:r>
      <w:r w:rsidRPr="002B21D2">
        <w:rPr>
          <w:rFonts w:ascii="Arial" w:hAnsi="Arial" w:cs="Arial"/>
          <w:sz w:val="28"/>
          <w:szCs w:val="28"/>
          <w:bdr w:val="none" w:sz="0" w:space="0" w:color="auto" w:frame="1"/>
          <w:lang w:val="en-GB"/>
        </w:rPr>
        <w:t xml:space="preserve">A total of 38 contacts were identified in KwaZulu-Natal by the outbreak response teams. The contacts include </w:t>
      </w:r>
      <w:r w:rsidRPr="002B21D2">
        <w:rPr>
          <w:rFonts w:ascii="Arial" w:hAnsi="Arial" w:cs="Arial"/>
          <w:sz w:val="28"/>
          <w:szCs w:val="28"/>
          <w:bdr w:val="none" w:sz="0" w:space="0" w:color="auto" w:frame="1"/>
          <w:lang w:val="en-GB"/>
        </w:rPr>
        <w:lastRenderedPageBreak/>
        <w:t>household contacts (16), hospital contacts (10), partners/sexual partners (5) and friends (7). One of the cases indicated to have had sexual contact with multiple partners including both males and females.</w:t>
      </w:r>
    </w:p>
    <w:p w14:paraId="213CEA2E" w14:textId="77777777" w:rsidR="005B0C28" w:rsidRPr="002B21D2" w:rsidRDefault="005B0C28" w:rsidP="005B0C28">
      <w:pPr>
        <w:pStyle w:val="NormalWeb"/>
        <w:shd w:val="clear" w:color="auto" w:fill="FFFFFF"/>
        <w:spacing w:before="0" w:beforeAutospacing="0" w:after="0" w:afterAutospacing="0" w:line="360" w:lineRule="auto"/>
        <w:jc w:val="both"/>
        <w:rPr>
          <w:rFonts w:ascii="Arial" w:hAnsi="Arial" w:cs="Arial"/>
          <w:sz w:val="28"/>
          <w:szCs w:val="28"/>
          <w:lang w:val="en-GB"/>
        </w:rPr>
      </w:pPr>
      <w:r w:rsidRPr="002B21D2">
        <w:rPr>
          <w:rFonts w:ascii="Arial" w:hAnsi="Arial" w:cs="Arial"/>
          <w:sz w:val="28"/>
          <w:szCs w:val="28"/>
          <w:bdr w:val="none" w:sz="0" w:space="0" w:color="auto" w:frame="1"/>
          <w:lang w:val="en-GB"/>
        </w:rPr>
        <w:t> </w:t>
      </w:r>
    </w:p>
    <w:p w14:paraId="38F09BD6" w14:textId="77777777" w:rsidR="005B0C28" w:rsidRPr="002B21D2" w:rsidRDefault="005B0C28" w:rsidP="005B0C28">
      <w:pPr>
        <w:pStyle w:val="NormalWeb"/>
        <w:shd w:val="clear" w:color="auto" w:fill="FFFFFF"/>
        <w:spacing w:before="0" w:beforeAutospacing="0" w:after="0" w:afterAutospacing="0" w:line="360" w:lineRule="auto"/>
        <w:jc w:val="both"/>
        <w:rPr>
          <w:rFonts w:ascii="Arial" w:hAnsi="Arial" w:cs="Arial"/>
          <w:sz w:val="28"/>
          <w:szCs w:val="28"/>
          <w:lang w:val="en-GB"/>
        </w:rPr>
      </w:pPr>
      <w:r w:rsidRPr="002B21D2">
        <w:rPr>
          <w:rFonts w:ascii="Arial" w:hAnsi="Arial" w:cs="Arial"/>
          <w:sz w:val="28"/>
          <w:szCs w:val="28"/>
          <w:bdr w:val="none" w:sz="0" w:space="0" w:color="auto" w:frame="1"/>
          <w:lang w:val="en-GB"/>
        </w:rPr>
        <w:t>Regarding the case notified on the 08 May 2024 in Gauteng, seven (07) contacts have been followed up for 21 days, and none showed any signs and symptoms of mpox. Regarding the case notified on the 07 June 2024, the line list of the identified contacts was developed, they will be monitored for symptoms for a period of 21 days. Attempts will be made to identify other additional contacts.</w:t>
      </w:r>
    </w:p>
    <w:p w14:paraId="01973245" w14:textId="77777777" w:rsidR="005B0C28" w:rsidRPr="002B21D2" w:rsidRDefault="005B0C28" w:rsidP="005B0C28">
      <w:pPr>
        <w:pStyle w:val="NormalWeb"/>
        <w:shd w:val="clear" w:color="auto" w:fill="FFFFFF"/>
        <w:spacing w:before="0" w:beforeAutospacing="0" w:after="0" w:afterAutospacing="0" w:line="360" w:lineRule="auto"/>
        <w:jc w:val="both"/>
        <w:rPr>
          <w:rFonts w:ascii="Arial" w:hAnsi="Arial" w:cs="Arial"/>
          <w:sz w:val="28"/>
          <w:szCs w:val="28"/>
          <w:bdr w:val="none" w:sz="0" w:space="0" w:color="auto" w:frame="1"/>
          <w:lang w:val="en-GB"/>
        </w:rPr>
      </w:pPr>
    </w:p>
    <w:p w14:paraId="3ADB26D7" w14:textId="4BA39501" w:rsidR="005B0C28" w:rsidRDefault="005B0C28" w:rsidP="00A534B4">
      <w:pPr>
        <w:pStyle w:val="NormalWeb"/>
        <w:shd w:val="clear" w:color="auto" w:fill="FFFFFF"/>
        <w:spacing w:before="0" w:beforeAutospacing="0" w:after="0" w:afterAutospacing="0" w:line="360" w:lineRule="auto"/>
        <w:jc w:val="both"/>
        <w:rPr>
          <w:rFonts w:ascii="Arial" w:hAnsi="Arial" w:cs="Arial"/>
          <w:sz w:val="28"/>
          <w:szCs w:val="28"/>
          <w:shd w:val="clear" w:color="auto" w:fill="FFFFFF"/>
          <w:lang w:val="en-GB"/>
        </w:rPr>
      </w:pPr>
      <w:r w:rsidRPr="002B21D2">
        <w:rPr>
          <w:rFonts w:ascii="Arial" w:hAnsi="Arial" w:cs="Arial"/>
          <w:sz w:val="28"/>
          <w:szCs w:val="28"/>
          <w:bdr w:val="none" w:sz="0" w:space="0" w:color="auto" w:frame="1"/>
          <w:lang w:val="en-GB"/>
        </w:rPr>
        <w:t xml:space="preserve">The provinces have been notifying all the cases that meet the case definition of a suspected mpox case in the Notifiable Medical </w:t>
      </w:r>
      <w:r w:rsidR="00AD3636" w:rsidRPr="002B21D2">
        <w:rPr>
          <w:rFonts w:ascii="Arial" w:hAnsi="Arial" w:cs="Arial"/>
          <w:sz w:val="28"/>
          <w:szCs w:val="28"/>
          <w:bdr w:val="none" w:sz="0" w:space="0" w:color="auto" w:frame="1"/>
          <w:lang w:val="en-GB"/>
        </w:rPr>
        <w:t>Condition (</w:t>
      </w:r>
      <w:r w:rsidR="00A534B4">
        <w:rPr>
          <w:rFonts w:ascii="Arial" w:hAnsi="Arial" w:cs="Arial"/>
          <w:sz w:val="28"/>
          <w:szCs w:val="28"/>
          <w:bdr w:val="none" w:sz="0" w:space="0" w:color="auto" w:frame="1"/>
          <w:lang w:val="en-GB"/>
        </w:rPr>
        <w:t xml:space="preserve">NMC) </w:t>
      </w:r>
      <w:r w:rsidRPr="002B21D2">
        <w:rPr>
          <w:rFonts w:ascii="Arial" w:hAnsi="Arial" w:cs="Arial"/>
          <w:sz w:val="28"/>
          <w:szCs w:val="28"/>
          <w:bdr w:val="none" w:sz="0" w:space="0" w:color="auto" w:frame="1"/>
          <w:lang w:val="en-GB"/>
        </w:rPr>
        <w:t>System.  </w:t>
      </w:r>
      <w:r w:rsidRPr="002B21D2">
        <w:rPr>
          <w:rFonts w:ascii="Arial" w:hAnsi="Arial" w:cs="Arial"/>
          <w:sz w:val="28"/>
          <w:szCs w:val="28"/>
          <w:shd w:val="clear" w:color="auto" w:fill="FFFFFF"/>
          <w:lang w:val="en-GB"/>
        </w:rPr>
        <w:t>Meanwhile, the Outbreak Response Team comprising of experts from the Department, provinces, NICD, WHO and other stakeholders in the health sector have embarked on contact tracing and case finding in the affected provinces.</w:t>
      </w:r>
    </w:p>
    <w:p w14:paraId="7D7C1B41" w14:textId="77777777" w:rsidR="00A534B4" w:rsidRPr="00A534B4" w:rsidRDefault="00A534B4" w:rsidP="00A534B4">
      <w:pPr>
        <w:pStyle w:val="NormalWeb"/>
        <w:shd w:val="clear" w:color="auto" w:fill="FFFFFF"/>
        <w:spacing w:before="0" w:beforeAutospacing="0" w:after="0" w:afterAutospacing="0" w:line="360" w:lineRule="auto"/>
        <w:jc w:val="both"/>
        <w:rPr>
          <w:rFonts w:ascii="Arial" w:hAnsi="Arial" w:cs="Arial"/>
          <w:sz w:val="28"/>
          <w:szCs w:val="28"/>
          <w:shd w:val="clear" w:color="auto" w:fill="FFFFFF"/>
          <w:lang w:val="en-GB"/>
        </w:rPr>
      </w:pPr>
    </w:p>
    <w:p w14:paraId="046DEA5D" w14:textId="77777777" w:rsidR="005B0C28" w:rsidRPr="002B21D2" w:rsidRDefault="005B0C28" w:rsidP="005B0C28">
      <w:pPr>
        <w:spacing w:after="0" w:line="360" w:lineRule="auto"/>
        <w:jc w:val="both"/>
        <w:rPr>
          <w:rFonts w:ascii="Arial" w:hAnsi="Arial" w:cs="Arial"/>
          <w:b/>
          <w:bCs/>
          <w:sz w:val="28"/>
          <w:szCs w:val="28"/>
          <w:lang w:val="en-GB"/>
        </w:rPr>
      </w:pPr>
      <w:r w:rsidRPr="002B21D2">
        <w:rPr>
          <w:rFonts w:ascii="Arial" w:hAnsi="Arial" w:cs="Arial"/>
          <w:b/>
          <w:bCs/>
          <w:sz w:val="28"/>
          <w:szCs w:val="28"/>
          <w:lang w:val="en-GB"/>
        </w:rPr>
        <w:t>TREATMENT</w:t>
      </w:r>
    </w:p>
    <w:p w14:paraId="07C4A69D"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kern w:val="0"/>
          <w:sz w:val="28"/>
          <w:szCs w:val="28"/>
          <w:lang w:val="en-GB" w:eastAsia="en-ZA"/>
          <w14:ligatures w14:val="none"/>
        </w:rPr>
      </w:pPr>
      <w:r w:rsidRPr="002B21D2">
        <w:rPr>
          <w:rFonts w:ascii="Arial" w:hAnsi="Arial" w:cs="Arial"/>
          <w:sz w:val="28"/>
          <w:szCs w:val="28"/>
          <w:lang w:val="en-GB"/>
        </w:rPr>
        <w:t xml:space="preserve">At the current moment, there is no registered treatment for Mpox in South Africa. However, the World Health Organization recommends the use of Tecovirimat (known as TPOXX) for treatment of severe cases, such as in individuals with a CD4 count of less than 350.  However, the Department has obtained </w:t>
      </w:r>
      <w:r w:rsidRPr="002B21D2">
        <w:rPr>
          <w:rFonts w:ascii="Arial" w:eastAsia="Times New Roman" w:hAnsi="Arial" w:cs="Arial"/>
          <w:kern w:val="0"/>
          <w:sz w:val="28"/>
          <w:szCs w:val="28"/>
          <w:lang w:val="en-GB" w:eastAsia="en-ZA"/>
          <w14:ligatures w14:val="none"/>
        </w:rPr>
        <w:t>Tecovirimat</w:t>
      </w:r>
      <w:r w:rsidRPr="002B21D2">
        <w:rPr>
          <w:rFonts w:ascii="Arial" w:hAnsi="Arial" w:cs="Arial"/>
          <w:sz w:val="28"/>
          <w:szCs w:val="28"/>
          <w:lang w:val="en-GB"/>
        </w:rPr>
        <w:t xml:space="preserve"> via Section 21 SAPHRA approval</w:t>
      </w:r>
      <w:r w:rsidRPr="002B21D2">
        <w:rPr>
          <w:rFonts w:ascii="Arial" w:eastAsia="Times New Roman" w:hAnsi="Arial" w:cs="Arial"/>
          <w:kern w:val="0"/>
          <w:sz w:val="28"/>
          <w:szCs w:val="28"/>
          <w:lang w:val="en-GB" w:eastAsia="en-ZA"/>
          <w14:ligatures w14:val="none"/>
        </w:rPr>
        <w:t xml:space="preserve"> on compassionate use basis for the five known patients with severe disease. </w:t>
      </w:r>
    </w:p>
    <w:p w14:paraId="1E388AB0"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kern w:val="0"/>
          <w:sz w:val="28"/>
          <w:szCs w:val="28"/>
          <w:lang w:val="en-GB" w:eastAsia="en-ZA"/>
          <w14:ligatures w14:val="none"/>
        </w:rPr>
      </w:pPr>
    </w:p>
    <w:p w14:paraId="33B7718F" w14:textId="1AE9019D" w:rsidR="005B0C28" w:rsidRPr="00A534B4" w:rsidRDefault="005B0C28" w:rsidP="00A534B4">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Three of the five cases had access to Tecovirimat treatment as advocated by the NICD. The drug was obtained via Section 21 and the SAPHRA approval process; and donated by the WHO. SAPHRA has since </w:t>
      </w:r>
      <w:r w:rsidRPr="002B21D2">
        <w:rPr>
          <w:rFonts w:ascii="Arial" w:hAnsi="Arial" w:cs="Arial"/>
          <w:sz w:val="28"/>
          <w:szCs w:val="28"/>
          <w:lang w:val="en-GB"/>
        </w:rPr>
        <w:lastRenderedPageBreak/>
        <w:t>approved a request for a small stockpile of Tecovirimat which the WHO will support as a donation.</w:t>
      </w:r>
      <w:r w:rsidR="00A534B4">
        <w:rPr>
          <w:rFonts w:ascii="Arial" w:hAnsi="Arial" w:cs="Arial"/>
          <w:sz w:val="28"/>
          <w:szCs w:val="28"/>
          <w:lang w:val="en-GB"/>
        </w:rPr>
        <w:t xml:space="preserve"> </w:t>
      </w:r>
      <w:r w:rsidRPr="002B21D2">
        <w:rPr>
          <w:rFonts w:ascii="Arial" w:eastAsia="Times New Roman" w:hAnsi="Arial" w:cs="Arial"/>
          <w:kern w:val="0"/>
          <w:sz w:val="28"/>
          <w:szCs w:val="28"/>
          <w:lang w:val="en-GB" w:eastAsia="en-ZA"/>
          <w14:ligatures w14:val="none"/>
        </w:rPr>
        <w:t>Our intention is to obtain a stockpile of Tecovirimat treatment for rapid deployment in case the current situation leads to a wider outbreak. The stock will be donated by the World Health Organization. </w:t>
      </w:r>
    </w:p>
    <w:p w14:paraId="1F8C5431"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kern w:val="0"/>
          <w:sz w:val="28"/>
          <w:szCs w:val="28"/>
          <w:lang w:val="en-GB" w:eastAsia="en-ZA"/>
          <w14:ligatures w14:val="none"/>
        </w:rPr>
      </w:pPr>
    </w:p>
    <w:p w14:paraId="65869C16"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kern w:val="0"/>
          <w:sz w:val="28"/>
          <w:szCs w:val="28"/>
          <w:lang w:val="en-GB" w:eastAsia="en-ZA"/>
          <w14:ligatures w14:val="none"/>
        </w:rPr>
      </w:pPr>
      <w:r w:rsidRPr="002B21D2">
        <w:rPr>
          <w:rFonts w:ascii="Arial" w:eastAsia="Times New Roman" w:hAnsi="Arial" w:cs="Arial"/>
          <w:kern w:val="0"/>
          <w:sz w:val="28"/>
          <w:szCs w:val="28"/>
          <w:lang w:val="en-GB" w:eastAsia="en-ZA"/>
          <w14:ligatures w14:val="none"/>
        </w:rPr>
        <w:t>As far as the vaccine is concerned, options are being considered as to which population groups should be targeted. South Africa is trying to source vaccine from WHO member countries who have stockpiles that exceed their needs as well as from GAVI. These vaccines will be stored and distributed from our provincial depots.</w:t>
      </w:r>
    </w:p>
    <w:p w14:paraId="781EF259" w14:textId="77777777" w:rsidR="005B0C28" w:rsidRPr="002B21D2" w:rsidRDefault="005B0C28" w:rsidP="005B0C28">
      <w:pPr>
        <w:spacing w:after="0" w:line="360" w:lineRule="auto"/>
        <w:jc w:val="both"/>
        <w:rPr>
          <w:rFonts w:ascii="Arial" w:hAnsi="Arial" w:cs="Arial"/>
          <w:sz w:val="28"/>
          <w:szCs w:val="28"/>
          <w:lang w:val="en-GB"/>
        </w:rPr>
      </w:pPr>
    </w:p>
    <w:p w14:paraId="564431EC" w14:textId="77777777" w:rsidR="005B0C28"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Additional intervention is being considered, as National Advisory Group for Immunisation (NAGI) Technical Working Group for Mpox vaccines has been appointed and is considering mpox vaccine for both pre and post-exposure administration for high-risk groups, including but not limited to sex workers, men-who-have-sex-with-men, healthcare workers and laboratory workers. </w:t>
      </w:r>
    </w:p>
    <w:p w14:paraId="335965C4" w14:textId="77777777" w:rsidR="00AD3636" w:rsidRPr="002B21D2" w:rsidRDefault="00AD3636" w:rsidP="005B0C28">
      <w:pPr>
        <w:spacing w:after="0" w:line="360" w:lineRule="auto"/>
        <w:jc w:val="both"/>
        <w:rPr>
          <w:rFonts w:ascii="Arial" w:hAnsi="Arial" w:cs="Arial"/>
          <w:sz w:val="28"/>
          <w:szCs w:val="28"/>
          <w:lang w:val="en-GB"/>
        </w:rPr>
      </w:pPr>
    </w:p>
    <w:p w14:paraId="113C12AA"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b/>
          <w:bCs/>
          <w:kern w:val="0"/>
          <w:sz w:val="28"/>
          <w:szCs w:val="28"/>
          <w:lang w:val="en-GB" w:eastAsia="en-ZA"/>
          <w14:ligatures w14:val="none"/>
        </w:rPr>
      </w:pPr>
      <w:r w:rsidRPr="002B21D2">
        <w:rPr>
          <w:rFonts w:ascii="Arial" w:eastAsia="Times New Roman" w:hAnsi="Arial" w:cs="Arial"/>
          <w:b/>
          <w:bCs/>
          <w:kern w:val="0"/>
          <w:sz w:val="28"/>
          <w:szCs w:val="28"/>
          <w:lang w:val="en-GB" w:eastAsia="en-ZA"/>
          <w14:ligatures w14:val="none"/>
        </w:rPr>
        <w:t>RISK COMMUNICATIONS</w:t>
      </w:r>
    </w:p>
    <w:p w14:paraId="48A4B4C3"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The Department working together with partner organisations, has intensified both targeted and public awareness using various channels of communications to empower the citizens with crucial information related to Mpox to make well informed health decisions. As part of additional efforts to increase opportunity for engagement, a clinical management webinar has been convened and was attended by five-hundred healthcare workers and public health professionals from across the country. </w:t>
      </w:r>
    </w:p>
    <w:p w14:paraId="71B76EBC" w14:textId="77777777" w:rsidR="005B0C28" w:rsidRPr="002B21D2" w:rsidRDefault="005B0C28" w:rsidP="005B0C28">
      <w:pPr>
        <w:spacing w:after="0" w:line="360" w:lineRule="auto"/>
        <w:jc w:val="both"/>
        <w:rPr>
          <w:rFonts w:ascii="Arial" w:hAnsi="Arial" w:cs="Arial"/>
          <w:sz w:val="28"/>
          <w:szCs w:val="28"/>
          <w:lang w:val="en-GB"/>
        </w:rPr>
      </w:pPr>
    </w:p>
    <w:p w14:paraId="25201098"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lastRenderedPageBreak/>
        <w:t xml:space="preserve">However, the most important intervention at present remains risk communication and community engagement (RCCE), which is being implemented, including addressing the high-risk population without discriminating to avoid stigma.  We are also reaching out to organisations working with the HIV programmes and key populations such as the MSM to reach their members since they fall under the category of people at risk. </w:t>
      </w:r>
    </w:p>
    <w:p w14:paraId="5A295914" w14:textId="77777777" w:rsidR="005B0C28" w:rsidRPr="002B21D2" w:rsidRDefault="005B0C28" w:rsidP="005B0C28">
      <w:pPr>
        <w:tabs>
          <w:tab w:val="left" w:pos="1869"/>
          <w:tab w:val="left" w:pos="7312"/>
          <w:tab w:val="left" w:pos="8203"/>
        </w:tabs>
        <w:spacing w:after="0" w:line="360" w:lineRule="auto"/>
        <w:jc w:val="both"/>
        <w:rPr>
          <w:rFonts w:ascii="Arial" w:hAnsi="Arial" w:cs="Arial"/>
          <w:sz w:val="28"/>
          <w:szCs w:val="28"/>
        </w:rPr>
      </w:pPr>
    </w:p>
    <w:p w14:paraId="3D48E815" w14:textId="76DFF1F7" w:rsidR="005B0C28" w:rsidRPr="00A534B4" w:rsidRDefault="005B0C28" w:rsidP="00A534B4">
      <w:pPr>
        <w:tabs>
          <w:tab w:val="left" w:pos="1869"/>
          <w:tab w:val="left" w:pos="7312"/>
          <w:tab w:val="left" w:pos="8203"/>
        </w:tabs>
        <w:spacing w:after="0" w:line="360" w:lineRule="auto"/>
        <w:jc w:val="both"/>
        <w:rPr>
          <w:rFonts w:ascii="Arial" w:hAnsi="Arial" w:cs="Arial"/>
          <w:sz w:val="28"/>
          <w:szCs w:val="28"/>
        </w:rPr>
      </w:pPr>
      <w:r w:rsidRPr="002B21D2">
        <w:rPr>
          <w:rFonts w:ascii="Arial" w:hAnsi="Arial" w:cs="Arial"/>
          <w:sz w:val="28"/>
          <w:szCs w:val="28"/>
        </w:rPr>
        <w:t xml:space="preserve">Although, the World Health Organization has not recommended any travel restrictions, it is important for </w:t>
      </w:r>
      <w:r w:rsidRPr="002B21D2">
        <w:rPr>
          <w:rFonts w:ascii="Arial" w:hAnsi="Arial" w:cs="Arial"/>
          <w:sz w:val="28"/>
          <w:szCs w:val="28"/>
          <w:shd w:val="clear" w:color="auto" w:fill="FFFFFF"/>
        </w:rPr>
        <w:t xml:space="preserve">travellers </w:t>
      </w:r>
      <w:r w:rsidR="00A534B4" w:rsidRPr="002B21D2">
        <w:rPr>
          <w:rFonts w:ascii="Arial" w:hAnsi="Arial" w:cs="Arial"/>
          <w:sz w:val="28"/>
          <w:szCs w:val="28"/>
          <w:shd w:val="clear" w:color="auto" w:fill="FFFFFF"/>
        </w:rPr>
        <w:t>to and</w:t>
      </w:r>
      <w:r w:rsidRPr="002B21D2">
        <w:rPr>
          <w:rFonts w:ascii="Arial" w:hAnsi="Arial" w:cs="Arial"/>
          <w:sz w:val="28"/>
          <w:szCs w:val="28"/>
          <w:shd w:val="clear" w:color="auto" w:fill="FFFFFF"/>
        </w:rPr>
        <w:t xml:space="preserve"> from endemic countries </w:t>
      </w:r>
      <w:r w:rsidRPr="002B21D2">
        <w:rPr>
          <w:rFonts w:ascii="Arial" w:hAnsi="Arial" w:cs="Arial"/>
          <w:sz w:val="28"/>
          <w:szCs w:val="28"/>
        </w:rPr>
        <w:t>to alert health officials on the situation to enable them to provide guidance for case detection and management.</w:t>
      </w:r>
      <w:r w:rsidR="00A534B4">
        <w:rPr>
          <w:rFonts w:ascii="Arial" w:hAnsi="Arial" w:cs="Arial"/>
          <w:sz w:val="28"/>
          <w:szCs w:val="28"/>
        </w:rPr>
        <w:t xml:space="preserve"> </w:t>
      </w:r>
      <w:r w:rsidRPr="002B21D2">
        <w:rPr>
          <w:rFonts w:ascii="Arial" w:hAnsi="Arial" w:cs="Arial"/>
          <w:sz w:val="28"/>
          <w:szCs w:val="28"/>
          <w:lang w:val="en-GB"/>
        </w:rPr>
        <w:t xml:space="preserve">We can prevent further spread of this infectious disease if those with suspected symptoms or who were in contact with known cases/patients present themselves at health care facilities on time for early diagnosis and effective treatment. </w:t>
      </w:r>
      <w:r>
        <w:rPr>
          <w:rFonts w:ascii="Arial" w:hAnsi="Arial" w:cs="Arial"/>
          <w:sz w:val="28"/>
          <w:szCs w:val="28"/>
          <w:lang w:val="en-GB"/>
        </w:rPr>
        <w:t xml:space="preserve"> </w:t>
      </w:r>
    </w:p>
    <w:p w14:paraId="30FC4EBD" w14:textId="77777777" w:rsidR="005B0C28" w:rsidRDefault="005B0C28" w:rsidP="005B0C28">
      <w:pPr>
        <w:spacing w:after="0" w:line="360" w:lineRule="auto"/>
        <w:jc w:val="both"/>
        <w:rPr>
          <w:rFonts w:ascii="Arial" w:hAnsi="Arial" w:cs="Arial"/>
          <w:sz w:val="28"/>
          <w:szCs w:val="28"/>
          <w:lang w:val="en-GB"/>
        </w:rPr>
      </w:pPr>
    </w:p>
    <w:p w14:paraId="2AC2C49D" w14:textId="07A1F18A"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 xml:space="preserve">We can disrupt the local transmission by supporting those diagnosed with this disease to take their treatment to prevent infecting others.  We can prevent avoidable deaths by cooperating with health officials when they conduct contact tracing and case finding. </w:t>
      </w:r>
    </w:p>
    <w:p w14:paraId="0CFD8A8A" w14:textId="77777777" w:rsidR="005B0C28" w:rsidRPr="002B21D2" w:rsidRDefault="005B0C28" w:rsidP="005B0C28">
      <w:pPr>
        <w:spacing w:after="0" w:line="360" w:lineRule="auto"/>
        <w:jc w:val="both"/>
        <w:rPr>
          <w:rFonts w:ascii="Arial" w:hAnsi="Arial" w:cs="Arial"/>
          <w:sz w:val="28"/>
          <w:szCs w:val="28"/>
          <w:lang w:val="en-GB"/>
        </w:rPr>
      </w:pPr>
    </w:p>
    <w:p w14:paraId="75B878E4"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One death is too many, especially from a preventable and manageable disease like mpox.</w:t>
      </w:r>
    </w:p>
    <w:p w14:paraId="4102BBD6" w14:textId="77777777" w:rsidR="005B0C28" w:rsidRPr="002B21D2" w:rsidRDefault="005B0C28" w:rsidP="005B0C28">
      <w:pPr>
        <w:spacing w:after="0" w:line="360" w:lineRule="auto"/>
        <w:jc w:val="both"/>
        <w:rPr>
          <w:rFonts w:ascii="Arial" w:hAnsi="Arial" w:cs="Arial"/>
          <w:sz w:val="28"/>
          <w:szCs w:val="28"/>
          <w:lang w:val="en-GB"/>
        </w:rPr>
      </w:pPr>
    </w:p>
    <w:p w14:paraId="20ECE812" w14:textId="77777777" w:rsidR="005B0C28" w:rsidRPr="002B21D2" w:rsidRDefault="005B0C28" w:rsidP="005B0C28">
      <w:pPr>
        <w:spacing w:after="0" w:line="360" w:lineRule="auto"/>
        <w:jc w:val="both"/>
        <w:rPr>
          <w:rFonts w:ascii="Arial" w:hAnsi="Arial" w:cs="Arial"/>
          <w:sz w:val="28"/>
          <w:szCs w:val="28"/>
          <w:lang w:val="en-GB"/>
        </w:rPr>
      </w:pPr>
      <w:r w:rsidRPr="002B21D2">
        <w:rPr>
          <w:rFonts w:ascii="Arial" w:hAnsi="Arial" w:cs="Arial"/>
          <w:sz w:val="28"/>
          <w:szCs w:val="28"/>
          <w:lang w:val="en-GB"/>
        </w:rPr>
        <w:t>I thank you</w:t>
      </w:r>
    </w:p>
    <w:p w14:paraId="3B8FC086" w14:textId="77777777" w:rsidR="005B0C28" w:rsidRPr="002B21D2" w:rsidRDefault="005B0C28" w:rsidP="005B0C28">
      <w:pPr>
        <w:shd w:val="clear" w:color="auto" w:fill="FFFFFF"/>
        <w:spacing w:after="0" w:line="360" w:lineRule="auto"/>
        <w:jc w:val="both"/>
        <w:textAlignment w:val="baseline"/>
        <w:rPr>
          <w:rFonts w:ascii="Arial" w:eastAsia="Times New Roman" w:hAnsi="Arial" w:cs="Arial"/>
          <w:kern w:val="0"/>
          <w:sz w:val="28"/>
          <w:szCs w:val="28"/>
          <w:lang w:val="en-GB" w:eastAsia="en-ZA"/>
          <w14:ligatures w14:val="none"/>
        </w:rPr>
      </w:pPr>
    </w:p>
    <w:p w14:paraId="14D9A12F" w14:textId="77777777" w:rsidR="005B0C28" w:rsidRPr="002B21D2" w:rsidRDefault="005B0C28" w:rsidP="005B0C28">
      <w:pPr>
        <w:spacing w:after="0" w:line="360" w:lineRule="auto"/>
        <w:jc w:val="both"/>
        <w:rPr>
          <w:rFonts w:ascii="Arial" w:hAnsi="Arial" w:cs="Arial"/>
          <w:b/>
          <w:bCs/>
          <w:sz w:val="28"/>
          <w:szCs w:val="28"/>
          <w:lang w:val="en-GB"/>
        </w:rPr>
      </w:pPr>
    </w:p>
    <w:p w14:paraId="7C094D01" w14:textId="77777777" w:rsidR="005B0C28" w:rsidRPr="002B21D2" w:rsidRDefault="005B0C28" w:rsidP="005B0C28">
      <w:pPr>
        <w:spacing w:after="0" w:line="360" w:lineRule="auto"/>
        <w:jc w:val="both"/>
        <w:rPr>
          <w:rFonts w:ascii="Arial" w:hAnsi="Arial" w:cs="Arial"/>
          <w:sz w:val="28"/>
          <w:szCs w:val="28"/>
          <w:shd w:val="clear" w:color="auto" w:fill="FFFFFF"/>
          <w:lang w:val="en-GB"/>
        </w:rPr>
      </w:pPr>
    </w:p>
    <w:p w14:paraId="7257537B" w14:textId="77777777" w:rsidR="00146024" w:rsidRPr="005B0C28" w:rsidRDefault="00146024" w:rsidP="005B0C28"/>
    <w:sectPr w:rsidR="00146024" w:rsidRPr="005B0C28" w:rsidSect="005313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A92B" w14:textId="77777777" w:rsidR="00977FBD" w:rsidRDefault="00977FBD" w:rsidP="00DD48C8">
      <w:pPr>
        <w:spacing w:after="0" w:line="240" w:lineRule="auto"/>
      </w:pPr>
      <w:r>
        <w:separator/>
      </w:r>
    </w:p>
  </w:endnote>
  <w:endnote w:type="continuationSeparator" w:id="0">
    <w:p w14:paraId="210D1F9E" w14:textId="77777777" w:rsidR="00977FBD" w:rsidRDefault="00977FBD" w:rsidP="00DD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96968"/>
      <w:docPartObj>
        <w:docPartGallery w:val="Page Numbers (Bottom of Page)"/>
        <w:docPartUnique/>
      </w:docPartObj>
    </w:sdtPr>
    <w:sdtEndPr>
      <w:rPr>
        <w:noProof/>
      </w:rPr>
    </w:sdtEndPr>
    <w:sdtContent>
      <w:p w14:paraId="6DE8EE48" w14:textId="5F91C676" w:rsidR="00DD48C8" w:rsidRDefault="00DD4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93BB2" w14:textId="77777777" w:rsidR="00DD48C8" w:rsidRDefault="00DD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A015" w14:textId="77777777" w:rsidR="00977FBD" w:rsidRDefault="00977FBD" w:rsidP="00DD48C8">
      <w:pPr>
        <w:spacing w:after="0" w:line="240" w:lineRule="auto"/>
      </w:pPr>
      <w:r>
        <w:separator/>
      </w:r>
    </w:p>
  </w:footnote>
  <w:footnote w:type="continuationSeparator" w:id="0">
    <w:p w14:paraId="622D05EB" w14:textId="77777777" w:rsidR="00977FBD" w:rsidRDefault="00977FBD" w:rsidP="00DD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D73B9"/>
    <w:multiLevelType w:val="hybridMultilevel"/>
    <w:tmpl w:val="B9E2C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F1A256F"/>
    <w:multiLevelType w:val="hybridMultilevel"/>
    <w:tmpl w:val="A6EAE19A"/>
    <w:lvl w:ilvl="0" w:tplc="5EC63B5E">
      <w:start w:val="1"/>
      <w:numFmt w:val="bullet"/>
      <w:lvlText w:val="•"/>
      <w:lvlJc w:val="left"/>
      <w:pPr>
        <w:tabs>
          <w:tab w:val="num" w:pos="720"/>
        </w:tabs>
        <w:ind w:left="720" w:hanging="360"/>
      </w:pPr>
      <w:rPr>
        <w:rFonts w:ascii="Arial" w:hAnsi="Arial" w:hint="default"/>
      </w:rPr>
    </w:lvl>
    <w:lvl w:ilvl="1" w:tplc="12103104" w:tentative="1">
      <w:start w:val="1"/>
      <w:numFmt w:val="bullet"/>
      <w:lvlText w:val="•"/>
      <w:lvlJc w:val="left"/>
      <w:pPr>
        <w:tabs>
          <w:tab w:val="num" w:pos="1440"/>
        </w:tabs>
        <w:ind w:left="1440" w:hanging="360"/>
      </w:pPr>
      <w:rPr>
        <w:rFonts w:ascii="Arial" w:hAnsi="Arial" w:hint="default"/>
      </w:rPr>
    </w:lvl>
    <w:lvl w:ilvl="2" w:tplc="D468406E" w:tentative="1">
      <w:start w:val="1"/>
      <w:numFmt w:val="bullet"/>
      <w:lvlText w:val="•"/>
      <w:lvlJc w:val="left"/>
      <w:pPr>
        <w:tabs>
          <w:tab w:val="num" w:pos="2160"/>
        </w:tabs>
        <w:ind w:left="2160" w:hanging="360"/>
      </w:pPr>
      <w:rPr>
        <w:rFonts w:ascii="Arial" w:hAnsi="Arial" w:hint="default"/>
      </w:rPr>
    </w:lvl>
    <w:lvl w:ilvl="3" w:tplc="0A444C4C" w:tentative="1">
      <w:start w:val="1"/>
      <w:numFmt w:val="bullet"/>
      <w:lvlText w:val="•"/>
      <w:lvlJc w:val="left"/>
      <w:pPr>
        <w:tabs>
          <w:tab w:val="num" w:pos="2880"/>
        </w:tabs>
        <w:ind w:left="2880" w:hanging="360"/>
      </w:pPr>
      <w:rPr>
        <w:rFonts w:ascii="Arial" w:hAnsi="Arial" w:hint="default"/>
      </w:rPr>
    </w:lvl>
    <w:lvl w:ilvl="4" w:tplc="890636D4" w:tentative="1">
      <w:start w:val="1"/>
      <w:numFmt w:val="bullet"/>
      <w:lvlText w:val="•"/>
      <w:lvlJc w:val="left"/>
      <w:pPr>
        <w:tabs>
          <w:tab w:val="num" w:pos="3600"/>
        </w:tabs>
        <w:ind w:left="3600" w:hanging="360"/>
      </w:pPr>
      <w:rPr>
        <w:rFonts w:ascii="Arial" w:hAnsi="Arial" w:hint="default"/>
      </w:rPr>
    </w:lvl>
    <w:lvl w:ilvl="5" w:tplc="C3423F08" w:tentative="1">
      <w:start w:val="1"/>
      <w:numFmt w:val="bullet"/>
      <w:lvlText w:val="•"/>
      <w:lvlJc w:val="left"/>
      <w:pPr>
        <w:tabs>
          <w:tab w:val="num" w:pos="4320"/>
        </w:tabs>
        <w:ind w:left="4320" w:hanging="360"/>
      </w:pPr>
      <w:rPr>
        <w:rFonts w:ascii="Arial" w:hAnsi="Arial" w:hint="default"/>
      </w:rPr>
    </w:lvl>
    <w:lvl w:ilvl="6" w:tplc="6FB8484E" w:tentative="1">
      <w:start w:val="1"/>
      <w:numFmt w:val="bullet"/>
      <w:lvlText w:val="•"/>
      <w:lvlJc w:val="left"/>
      <w:pPr>
        <w:tabs>
          <w:tab w:val="num" w:pos="5040"/>
        </w:tabs>
        <w:ind w:left="5040" w:hanging="360"/>
      </w:pPr>
      <w:rPr>
        <w:rFonts w:ascii="Arial" w:hAnsi="Arial" w:hint="default"/>
      </w:rPr>
    </w:lvl>
    <w:lvl w:ilvl="7" w:tplc="3222CD7A" w:tentative="1">
      <w:start w:val="1"/>
      <w:numFmt w:val="bullet"/>
      <w:lvlText w:val="•"/>
      <w:lvlJc w:val="left"/>
      <w:pPr>
        <w:tabs>
          <w:tab w:val="num" w:pos="5760"/>
        </w:tabs>
        <w:ind w:left="5760" w:hanging="360"/>
      </w:pPr>
      <w:rPr>
        <w:rFonts w:ascii="Arial" w:hAnsi="Arial" w:hint="default"/>
      </w:rPr>
    </w:lvl>
    <w:lvl w:ilvl="8" w:tplc="7DDE2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8B5E05"/>
    <w:multiLevelType w:val="hybridMultilevel"/>
    <w:tmpl w:val="814EF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93"/>
    <w:rsid w:val="0001129E"/>
    <w:rsid w:val="000137A5"/>
    <w:rsid w:val="00052ECC"/>
    <w:rsid w:val="00067C22"/>
    <w:rsid w:val="00076ECF"/>
    <w:rsid w:val="000B5125"/>
    <w:rsid w:val="000D7AAF"/>
    <w:rsid w:val="000F2C0E"/>
    <w:rsid w:val="00146024"/>
    <w:rsid w:val="0016080C"/>
    <w:rsid w:val="001B0EFD"/>
    <w:rsid w:val="00202E20"/>
    <w:rsid w:val="00214B54"/>
    <w:rsid w:val="00286B14"/>
    <w:rsid w:val="002A4A55"/>
    <w:rsid w:val="002B2F9C"/>
    <w:rsid w:val="002C016F"/>
    <w:rsid w:val="002C6D7E"/>
    <w:rsid w:val="002F03FC"/>
    <w:rsid w:val="002F36DA"/>
    <w:rsid w:val="0030131D"/>
    <w:rsid w:val="003241D5"/>
    <w:rsid w:val="00336E52"/>
    <w:rsid w:val="0040562A"/>
    <w:rsid w:val="00470C3B"/>
    <w:rsid w:val="00494803"/>
    <w:rsid w:val="00496E2E"/>
    <w:rsid w:val="004B0DD8"/>
    <w:rsid w:val="00531393"/>
    <w:rsid w:val="00536B48"/>
    <w:rsid w:val="005B0C28"/>
    <w:rsid w:val="00600C86"/>
    <w:rsid w:val="00613459"/>
    <w:rsid w:val="00624597"/>
    <w:rsid w:val="00663BA3"/>
    <w:rsid w:val="0066647B"/>
    <w:rsid w:val="007267AA"/>
    <w:rsid w:val="007410AA"/>
    <w:rsid w:val="00786355"/>
    <w:rsid w:val="007873D7"/>
    <w:rsid w:val="007B7FC4"/>
    <w:rsid w:val="007E48A0"/>
    <w:rsid w:val="007F76C8"/>
    <w:rsid w:val="00805274"/>
    <w:rsid w:val="008523B8"/>
    <w:rsid w:val="00853F06"/>
    <w:rsid w:val="008641DB"/>
    <w:rsid w:val="008B6FE9"/>
    <w:rsid w:val="008D6670"/>
    <w:rsid w:val="00977FBD"/>
    <w:rsid w:val="009926A3"/>
    <w:rsid w:val="009F2608"/>
    <w:rsid w:val="00A20C83"/>
    <w:rsid w:val="00A35A46"/>
    <w:rsid w:val="00A534B4"/>
    <w:rsid w:val="00A63015"/>
    <w:rsid w:val="00A85581"/>
    <w:rsid w:val="00AD3636"/>
    <w:rsid w:val="00B36166"/>
    <w:rsid w:val="00B508AD"/>
    <w:rsid w:val="00B54AE7"/>
    <w:rsid w:val="00B82936"/>
    <w:rsid w:val="00BF4548"/>
    <w:rsid w:val="00C22DDB"/>
    <w:rsid w:val="00C52875"/>
    <w:rsid w:val="00C609CB"/>
    <w:rsid w:val="00D320E5"/>
    <w:rsid w:val="00D40DE3"/>
    <w:rsid w:val="00DB15EB"/>
    <w:rsid w:val="00DD48C8"/>
    <w:rsid w:val="00DE64FC"/>
    <w:rsid w:val="00DE6EEE"/>
    <w:rsid w:val="00DF51EE"/>
    <w:rsid w:val="00DF6E3B"/>
    <w:rsid w:val="00E8069C"/>
    <w:rsid w:val="00E85A59"/>
    <w:rsid w:val="00E87DC7"/>
    <w:rsid w:val="00ED2A98"/>
    <w:rsid w:val="00F04B2C"/>
    <w:rsid w:val="00F1257B"/>
    <w:rsid w:val="00F33FC4"/>
    <w:rsid w:val="00FD3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7873"/>
  <w15:chartTrackingRefBased/>
  <w15:docId w15:val="{FE576207-6ED4-4B32-B30B-E70C7FC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28"/>
  </w:style>
  <w:style w:type="paragraph" w:styleId="Heading1">
    <w:name w:val="heading 1"/>
    <w:basedOn w:val="Normal"/>
    <w:next w:val="Normal"/>
    <w:link w:val="Heading1Char"/>
    <w:uiPriority w:val="9"/>
    <w:qFormat/>
    <w:rsid w:val="005313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3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3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3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3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3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3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3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3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3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3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3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3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3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3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3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3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393"/>
    <w:rPr>
      <w:rFonts w:eastAsiaTheme="majorEastAsia" w:cstheme="majorBidi"/>
      <w:color w:val="272727" w:themeColor="text1" w:themeTint="D8"/>
    </w:rPr>
  </w:style>
  <w:style w:type="paragraph" w:styleId="Title">
    <w:name w:val="Title"/>
    <w:basedOn w:val="Normal"/>
    <w:next w:val="Normal"/>
    <w:link w:val="TitleChar"/>
    <w:uiPriority w:val="10"/>
    <w:qFormat/>
    <w:rsid w:val="005313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3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3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3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393"/>
    <w:pPr>
      <w:spacing w:before="160"/>
      <w:jc w:val="center"/>
    </w:pPr>
    <w:rPr>
      <w:i/>
      <w:iCs/>
      <w:color w:val="404040" w:themeColor="text1" w:themeTint="BF"/>
    </w:rPr>
  </w:style>
  <w:style w:type="character" w:customStyle="1" w:styleId="QuoteChar">
    <w:name w:val="Quote Char"/>
    <w:basedOn w:val="DefaultParagraphFont"/>
    <w:link w:val="Quote"/>
    <w:uiPriority w:val="29"/>
    <w:rsid w:val="00531393"/>
    <w:rPr>
      <w:i/>
      <w:iCs/>
      <w:color w:val="404040" w:themeColor="text1" w:themeTint="BF"/>
    </w:rPr>
  </w:style>
  <w:style w:type="paragraph" w:styleId="ListParagraph">
    <w:name w:val="List Paragraph"/>
    <w:basedOn w:val="Normal"/>
    <w:uiPriority w:val="34"/>
    <w:qFormat/>
    <w:rsid w:val="00531393"/>
    <w:pPr>
      <w:ind w:left="720"/>
      <w:contextualSpacing/>
    </w:pPr>
  </w:style>
  <w:style w:type="character" w:styleId="IntenseEmphasis">
    <w:name w:val="Intense Emphasis"/>
    <w:basedOn w:val="DefaultParagraphFont"/>
    <w:uiPriority w:val="21"/>
    <w:qFormat/>
    <w:rsid w:val="00531393"/>
    <w:rPr>
      <w:i/>
      <w:iCs/>
      <w:color w:val="0F4761" w:themeColor="accent1" w:themeShade="BF"/>
    </w:rPr>
  </w:style>
  <w:style w:type="paragraph" w:styleId="IntenseQuote">
    <w:name w:val="Intense Quote"/>
    <w:basedOn w:val="Normal"/>
    <w:next w:val="Normal"/>
    <w:link w:val="IntenseQuoteChar"/>
    <w:uiPriority w:val="30"/>
    <w:qFormat/>
    <w:rsid w:val="005313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393"/>
    <w:rPr>
      <w:i/>
      <w:iCs/>
      <w:color w:val="0F4761" w:themeColor="accent1" w:themeShade="BF"/>
    </w:rPr>
  </w:style>
  <w:style w:type="character" w:styleId="IntenseReference">
    <w:name w:val="Intense Reference"/>
    <w:basedOn w:val="DefaultParagraphFont"/>
    <w:uiPriority w:val="32"/>
    <w:qFormat/>
    <w:rsid w:val="00531393"/>
    <w:rPr>
      <w:b/>
      <w:bCs/>
      <w:smallCaps/>
      <w:color w:val="0F4761" w:themeColor="accent1" w:themeShade="BF"/>
      <w:spacing w:val="5"/>
    </w:rPr>
  </w:style>
  <w:style w:type="paragraph" w:customStyle="1" w:styleId="xelementtoproof">
    <w:name w:val="x_elementtoproof"/>
    <w:basedOn w:val="Normal"/>
    <w:rsid w:val="00531393"/>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paragraph" w:styleId="NormalWeb">
    <w:name w:val="Normal (Web)"/>
    <w:basedOn w:val="Normal"/>
    <w:uiPriority w:val="99"/>
    <w:unhideWhenUsed/>
    <w:rsid w:val="00531393"/>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paragraph" w:customStyle="1" w:styleId="elementtoproof">
    <w:name w:val="elementtoproof"/>
    <w:basedOn w:val="Normal"/>
    <w:rsid w:val="00531393"/>
    <w:pPr>
      <w:spacing w:after="0" w:line="240" w:lineRule="auto"/>
    </w:pPr>
    <w:rPr>
      <w:rFonts w:ascii="Aptos" w:hAnsi="Aptos" w:cs="Aptos"/>
      <w:kern w:val="0"/>
      <w:lang w:eastAsia="en-ZA"/>
    </w:rPr>
  </w:style>
  <w:style w:type="table" w:styleId="TableGrid">
    <w:name w:val="Table Grid"/>
    <w:basedOn w:val="TableNormal"/>
    <w:uiPriority w:val="39"/>
    <w:rsid w:val="0049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6024"/>
    <w:rPr>
      <w:i/>
      <w:iCs/>
    </w:rPr>
  </w:style>
  <w:style w:type="paragraph" w:styleId="Header">
    <w:name w:val="header"/>
    <w:basedOn w:val="Normal"/>
    <w:link w:val="HeaderChar"/>
    <w:uiPriority w:val="99"/>
    <w:unhideWhenUsed/>
    <w:rsid w:val="00DD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8C8"/>
  </w:style>
  <w:style w:type="paragraph" w:styleId="Footer">
    <w:name w:val="footer"/>
    <w:basedOn w:val="Normal"/>
    <w:link w:val="FooterChar"/>
    <w:uiPriority w:val="99"/>
    <w:unhideWhenUsed/>
    <w:rsid w:val="00DD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876">
      <w:bodyDiv w:val="1"/>
      <w:marLeft w:val="0"/>
      <w:marRight w:val="0"/>
      <w:marTop w:val="0"/>
      <w:marBottom w:val="0"/>
      <w:divBdr>
        <w:top w:val="none" w:sz="0" w:space="0" w:color="auto"/>
        <w:left w:val="none" w:sz="0" w:space="0" w:color="auto"/>
        <w:bottom w:val="none" w:sz="0" w:space="0" w:color="auto"/>
        <w:right w:val="none" w:sz="0" w:space="0" w:color="auto"/>
      </w:divBdr>
      <w:divsChild>
        <w:div w:id="850418081">
          <w:marLeft w:val="0"/>
          <w:marRight w:val="0"/>
          <w:marTop w:val="0"/>
          <w:marBottom w:val="0"/>
          <w:divBdr>
            <w:top w:val="none" w:sz="0" w:space="0" w:color="auto"/>
            <w:left w:val="none" w:sz="0" w:space="0" w:color="auto"/>
            <w:bottom w:val="none" w:sz="0" w:space="0" w:color="auto"/>
            <w:right w:val="none" w:sz="0" w:space="0" w:color="auto"/>
          </w:divBdr>
        </w:div>
        <w:div w:id="231933137">
          <w:marLeft w:val="0"/>
          <w:marRight w:val="0"/>
          <w:marTop w:val="0"/>
          <w:marBottom w:val="0"/>
          <w:divBdr>
            <w:top w:val="none" w:sz="0" w:space="0" w:color="auto"/>
            <w:left w:val="none" w:sz="0" w:space="0" w:color="auto"/>
            <w:bottom w:val="none" w:sz="0" w:space="0" w:color="auto"/>
            <w:right w:val="none" w:sz="0" w:space="0" w:color="auto"/>
          </w:divBdr>
        </w:div>
        <w:div w:id="1137651765">
          <w:marLeft w:val="0"/>
          <w:marRight w:val="0"/>
          <w:marTop w:val="0"/>
          <w:marBottom w:val="0"/>
          <w:divBdr>
            <w:top w:val="none" w:sz="0" w:space="0" w:color="auto"/>
            <w:left w:val="none" w:sz="0" w:space="0" w:color="auto"/>
            <w:bottom w:val="none" w:sz="0" w:space="0" w:color="auto"/>
            <w:right w:val="none" w:sz="0" w:space="0" w:color="auto"/>
          </w:divBdr>
        </w:div>
        <w:div w:id="1881044726">
          <w:marLeft w:val="0"/>
          <w:marRight w:val="0"/>
          <w:marTop w:val="0"/>
          <w:marBottom w:val="0"/>
          <w:divBdr>
            <w:top w:val="none" w:sz="0" w:space="0" w:color="auto"/>
            <w:left w:val="none" w:sz="0" w:space="0" w:color="auto"/>
            <w:bottom w:val="none" w:sz="0" w:space="0" w:color="auto"/>
            <w:right w:val="none" w:sz="0" w:space="0" w:color="auto"/>
          </w:divBdr>
        </w:div>
        <w:div w:id="1493643377">
          <w:marLeft w:val="0"/>
          <w:marRight w:val="0"/>
          <w:marTop w:val="0"/>
          <w:marBottom w:val="0"/>
          <w:divBdr>
            <w:top w:val="none" w:sz="0" w:space="0" w:color="auto"/>
            <w:left w:val="none" w:sz="0" w:space="0" w:color="auto"/>
            <w:bottom w:val="none" w:sz="0" w:space="0" w:color="auto"/>
            <w:right w:val="none" w:sz="0" w:space="0" w:color="auto"/>
          </w:divBdr>
        </w:div>
      </w:divsChild>
    </w:div>
    <w:div w:id="350034900">
      <w:bodyDiv w:val="1"/>
      <w:marLeft w:val="0"/>
      <w:marRight w:val="0"/>
      <w:marTop w:val="0"/>
      <w:marBottom w:val="0"/>
      <w:divBdr>
        <w:top w:val="none" w:sz="0" w:space="0" w:color="auto"/>
        <w:left w:val="none" w:sz="0" w:space="0" w:color="auto"/>
        <w:bottom w:val="none" w:sz="0" w:space="0" w:color="auto"/>
        <w:right w:val="none" w:sz="0" w:space="0" w:color="auto"/>
      </w:divBdr>
      <w:divsChild>
        <w:div w:id="341393932">
          <w:marLeft w:val="547"/>
          <w:marRight w:val="0"/>
          <w:marTop w:val="0"/>
          <w:marBottom w:val="200"/>
          <w:divBdr>
            <w:top w:val="none" w:sz="0" w:space="0" w:color="auto"/>
            <w:left w:val="none" w:sz="0" w:space="0" w:color="auto"/>
            <w:bottom w:val="none" w:sz="0" w:space="0" w:color="auto"/>
            <w:right w:val="none" w:sz="0" w:space="0" w:color="auto"/>
          </w:divBdr>
        </w:div>
        <w:div w:id="1653100364">
          <w:marLeft w:val="418"/>
          <w:marRight w:val="0"/>
          <w:marTop w:val="0"/>
          <w:marBottom w:val="200"/>
          <w:divBdr>
            <w:top w:val="none" w:sz="0" w:space="0" w:color="auto"/>
            <w:left w:val="none" w:sz="0" w:space="0" w:color="auto"/>
            <w:bottom w:val="none" w:sz="0" w:space="0" w:color="auto"/>
            <w:right w:val="none" w:sz="0" w:space="0" w:color="auto"/>
          </w:divBdr>
        </w:div>
        <w:div w:id="1421873082">
          <w:marLeft w:val="418"/>
          <w:marRight w:val="0"/>
          <w:marTop w:val="0"/>
          <w:marBottom w:val="200"/>
          <w:divBdr>
            <w:top w:val="none" w:sz="0" w:space="0" w:color="auto"/>
            <w:left w:val="none" w:sz="0" w:space="0" w:color="auto"/>
            <w:bottom w:val="none" w:sz="0" w:space="0" w:color="auto"/>
            <w:right w:val="none" w:sz="0" w:space="0" w:color="auto"/>
          </w:divBdr>
        </w:div>
        <w:div w:id="831487687">
          <w:marLeft w:val="418"/>
          <w:marRight w:val="0"/>
          <w:marTop w:val="0"/>
          <w:marBottom w:val="200"/>
          <w:divBdr>
            <w:top w:val="none" w:sz="0" w:space="0" w:color="auto"/>
            <w:left w:val="none" w:sz="0" w:space="0" w:color="auto"/>
            <w:bottom w:val="none" w:sz="0" w:space="0" w:color="auto"/>
            <w:right w:val="none" w:sz="0" w:space="0" w:color="auto"/>
          </w:divBdr>
        </w:div>
        <w:div w:id="936908518">
          <w:marLeft w:val="418"/>
          <w:marRight w:val="0"/>
          <w:marTop w:val="0"/>
          <w:marBottom w:val="200"/>
          <w:divBdr>
            <w:top w:val="none" w:sz="0" w:space="0" w:color="auto"/>
            <w:left w:val="none" w:sz="0" w:space="0" w:color="auto"/>
            <w:bottom w:val="none" w:sz="0" w:space="0" w:color="auto"/>
            <w:right w:val="none" w:sz="0" w:space="0" w:color="auto"/>
          </w:divBdr>
        </w:div>
        <w:div w:id="24454073">
          <w:marLeft w:val="418"/>
          <w:marRight w:val="0"/>
          <w:marTop w:val="0"/>
          <w:marBottom w:val="200"/>
          <w:divBdr>
            <w:top w:val="none" w:sz="0" w:space="0" w:color="auto"/>
            <w:left w:val="none" w:sz="0" w:space="0" w:color="auto"/>
            <w:bottom w:val="none" w:sz="0" w:space="0" w:color="auto"/>
            <w:right w:val="none" w:sz="0" w:space="0" w:color="auto"/>
          </w:divBdr>
        </w:div>
      </w:divsChild>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49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Mohale</dc:creator>
  <cp:keywords/>
  <dc:description/>
  <cp:lastModifiedBy>Bhekisisa Centre for Health Journalism</cp:lastModifiedBy>
  <cp:revision>2</cp:revision>
  <dcterms:created xsi:type="dcterms:W3CDTF">2024-06-13T16:10:00Z</dcterms:created>
  <dcterms:modified xsi:type="dcterms:W3CDTF">2024-06-13T16:10:00Z</dcterms:modified>
</cp:coreProperties>
</file>